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0360" w14:textId="77777777" w:rsidR="002840B8" w:rsidRPr="00AC5E4F" w:rsidRDefault="008775D1">
      <w:pPr>
        <w:rPr>
          <w:rFonts w:ascii="Arial" w:hAnsi="Arial" w:cs="Arial"/>
          <w:color w:val="0070C0"/>
          <w:sz w:val="40"/>
          <w:szCs w:val="40"/>
        </w:rPr>
      </w:pPr>
      <w:r w:rsidRPr="00AC5E4F">
        <w:rPr>
          <w:rFonts w:ascii="Arial" w:hAnsi="Arial" w:cs="Arial"/>
          <w:color w:val="0070C0"/>
          <w:sz w:val="40"/>
          <w:szCs w:val="40"/>
        </w:rPr>
        <w:t>Insolvency Practitioner Authorisation Regulations</w:t>
      </w:r>
    </w:p>
    <w:p w14:paraId="5BB00361" w14:textId="64086923" w:rsidR="008775D1" w:rsidRPr="00AC5E4F" w:rsidRDefault="008775D1">
      <w:pPr>
        <w:rPr>
          <w:rFonts w:ascii="Arial" w:hAnsi="Arial" w:cs="Arial"/>
          <w:color w:val="0070C0"/>
          <w:sz w:val="24"/>
          <w:szCs w:val="24"/>
        </w:rPr>
      </w:pPr>
      <w:r w:rsidRPr="00AC5E4F">
        <w:rPr>
          <w:rFonts w:ascii="Arial" w:hAnsi="Arial" w:cs="Arial"/>
          <w:color w:val="0070C0"/>
          <w:sz w:val="24"/>
          <w:szCs w:val="24"/>
        </w:rPr>
        <w:t xml:space="preserve">Approved by Council on </w:t>
      </w:r>
      <w:r w:rsidR="005C162D">
        <w:rPr>
          <w:rFonts w:ascii="Arial" w:hAnsi="Arial" w:cs="Arial"/>
          <w:color w:val="0070C0"/>
          <w:sz w:val="24"/>
          <w:szCs w:val="24"/>
        </w:rPr>
        <w:t>27 September 2018</w:t>
      </w:r>
      <w:r w:rsidR="005C162D">
        <w:rPr>
          <w:rStyle w:val="FootnoteReference"/>
          <w:rFonts w:ascii="Arial" w:hAnsi="Arial" w:cs="Arial"/>
          <w:color w:val="0070C0"/>
          <w:sz w:val="24"/>
          <w:szCs w:val="24"/>
        </w:rPr>
        <w:footnoteReference w:id="1"/>
      </w:r>
    </w:p>
    <w:p w14:paraId="5BB00362" w14:textId="77777777" w:rsidR="008775D1" w:rsidRDefault="008775D1"/>
    <w:p w14:paraId="5BB00363" w14:textId="77777777" w:rsidR="008775D1" w:rsidRPr="00AC5E4F" w:rsidRDefault="008775D1" w:rsidP="008775D1">
      <w:pPr>
        <w:spacing w:after="0"/>
        <w:rPr>
          <w:rFonts w:ascii="Arial" w:hAnsi="Arial" w:cs="Arial"/>
          <w:color w:val="0070C0"/>
          <w:sz w:val="32"/>
          <w:szCs w:val="32"/>
        </w:rPr>
      </w:pPr>
      <w:r w:rsidRPr="00AC5E4F">
        <w:rPr>
          <w:rFonts w:ascii="Arial" w:hAnsi="Arial" w:cs="Arial"/>
          <w:color w:val="0070C0"/>
          <w:sz w:val="32"/>
          <w:szCs w:val="32"/>
        </w:rPr>
        <w:t>Contents</w:t>
      </w:r>
    </w:p>
    <w:p w14:paraId="5BB00364" w14:textId="77777777" w:rsidR="008775D1" w:rsidRDefault="008775D1" w:rsidP="008775D1">
      <w:pPr>
        <w:spacing w:after="0"/>
      </w:pPr>
    </w:p>
    <w:p w14:paraId="5BB00365" w14:textId="77777777" w:rsidR="008775D1" w:rsidRDefault="008775D1" w:rsidP="00864C14">
      <w:pPr>
        <w:pStyle w:val="ListParagraph"/>
        <w:numPr>
          <w:ilvl w:val="0"/>
          <w:numId w:val="9"/>
        </w:numPr>
        <w:spacing w:after="0"/>
        <w:ind w:right="662"/>
        <w:jc w:val="both"/>
      </w:pPr>
      <w:r>
        <w:t>Introduction and application</w:t>
      </w:r>
      <w:r w:rsidR="00EB6C2F">
        <w:t>…………………………………………………………………………………….2</w:t>
      </w:r>
    </w:p>
    <w:p w14:paraId="5BB00366" w14:textId="77777777" w:rsidR="00EB6C2F" w:rsidRDefault="00EB6C2F" w:rsidP="00864C14">
      <w:pPr>
        <w:spacing w:after="0"/>
        <w:ind w:right="662"/>
      </w:pPr>
    </w:p>
    <w:p w14:paraId="5BB00367" w14:textId="77777777" w:rsidR="008775D1" w:rsidRDefault="00216BF7" w:rsidP="00864C14">
      <w:pPr>
        <w:pStyle w:val="ListParagraph"/>
        <w:numPr>
          <w:ilvl w:val="0"/>
          <w:numId w:val="9"/>
        </w:numPr>
        <w:spacing w:after="0"/>
        <w:ind w:right="662"/>
      </w:pPr>
      <w:r>
        <w:t>Definitions</w:t>
      </w:r>
      <w:r w:rsidR="00EB6C2F">
        <w:t>……</w:t>
      </w:r>
      <w:r w:rsidR="00864C14">
        <w:t>.</w:t>
      </w:r>
      <w:r w:rsidR="00EB6C2F">
        <w:t>…………………………………………………………………………………………….……………3</w:t>
      </w:r>
    </w:p>
    <w:p w14:paraId="5BB00368" w14:textId="77777777" w:rsidR="00EB6C2F" w:rsidRDefault="00EB6C2F" w:rsidP="00864C14">
      <w:pPr>
        <w:spacing w:after="0"/>
        <w:ind w:right="662"/>
      </w:pPr>
    </w:p>
    <w:p w14:paraId="5BB00369" w14:textId="77777777" w:rsidR="00216BF7" w:rsidRDefault="00216BF7" w:rsidP="00864C14">
      <w:pPr>
        <w:pStyle w:val="ListParagraph"/>
        <w:numPr>
          <w:ilvl w:val="0"/>
          <w:numId w:val="9"/>
        </w:numPr>
        <w:spacing w:after="0"/>
        <w:ind w:right="662"/>
      </w:pPr>
      <w:r>
        <w:t>Application for authorisation</w:t>
      </w:r>
      <w:r w:rsidR="00EB6C2F">
        <w:t>…………………………………………………………………………</w:t>
      </w:r>
      <w:r w:rsidR="00864C14">
        <w:t>.</w:t>
      </w:r>
      <w:r w:rsidR="00EB6C2F">
        <w:t>………</w:t>
      </w:r>
      <w:r w:rsidR="00864C14">
        <w:t>.</w:t>
      </w:r>
      <w:r w:rsidR="00EB6C2F">
        <w:t>.4</w:t>
      </w:r>
    </w:p>
    <w:p w14:paraId="5BB0036A" w14:textId="77777777" w:rsidR="00EB6C2F" w:rsidRDefault="00EB6C2F" w:rsidP="00864C14">
      <w:pPr>
        <w:spacing w:after="0"/>
        <w:ind w:right="662"/>
      </w:pPr>
    </w:p>
    <w:p w14:paraId="5BB0036B" w14:textId="77777777" w:rsidR="00216BF7" w:rsidRDefault="00865C35" w:rsidP="00864C14">
      <w:pPr>
        <w:pStyle w:val="ListParagraph"/>
        <w:numPr>
          <w:ilvl w:val="0"/>
          <w:numId w:val="9"/>
        </w:numPr>
        <w:spacing w:after="0"/>
        <w:ind w:right="662"/>
      </w:pPr>
      <w:r>
        <w:t>Ongoing obligations for authorised insolvency practitioners</w:t>
      </w:r>
      <w:r w:rsidR="00EB6C2F">
        <w:t>………………………………</w:t>
      </w:r>
      <w:r w:rsidR="00864C14">
        <w:t>.</w:t>
      </w:r>
      <w:r w:rsidR="00EB6C2F">
        <w:t>……6</w:t>
      </w:r>
    </w:p>
    <w:p w14:paraId="5BB0036C" w14:textId="77777777" w:rsidR="00EB6C2F" w:rsidRDefault="00EB6C2F" w:rsidP="00864C14">
      <w:pPr>
        <w:spacing w:after="0"/>
        <w:ind w:right="662"/>
      </w:pPr>
    </w:p>
    <w:p w14:paraId="5BB0036D" w14:textId="77777777" w:rsidR="00216BF7" w:rsidRDefault="00216BF7" w:rsidP="00864C14">
      <w:pPr>
        <w:pStyle w:val="ListParagraph"/>
        <w:numPr>
          <w:ilvl w:val="0"/>
          <w:numId w:val="9"/>
        </w:numPr>
        <w:spacing w:after="0"/>
        <w:ind w:right="662"/>
      </w:pPr>
      <w:r>
        <w:t xml:space="preserve">Insolvency Practitioner </w:t>
      </w:r>
      <w:r w:rsidR="00865C35">
        <w:t>Monitoring</w:t>
      </w:r>
      <w:r w:rsidR="00EB6C2F">
        <w:t>…………………………………………………………………………..9</w:t>
      </w:r>
    </w:p>
    <w:p w14:paraId="5BB0036E" w14:textId="77777777" w:rsidR="00EB6C2F" w:rsidRDefault="00EB6C2F" w:rsidP="00864C14">
      <w:pPr>
        <w:spacing w:after="0"/>
        <w:ind w:right="662"/>
      </w:pPr>
    </w:p>
    <w:p w14:paraId="5BB0036F" w14:textId="77777777" w:rsidR="00216BF7" w:rsidRDefault="004B2049" w:rsidP="00864C14">
      <w:pPr>
        <w:pStyle w:val="ListParagraph"/>
        <w:numPr>
          <w:ilvl w:val="0"/>
          <w:numId w:val="9"/>
        </w:numPr>
        <w:spacing w:after="0"/>
        <w:ind w:right="662"/>
      </w:pPr>
      <w:r>
        <w:t>Complaints</w:t>
      </w:r>
      <w:r w:rsidR="00EB6C2F">
        <w:t>………………………………………………………………………………………………………………11</w:t>
      </w:r>
    </w:p>
    <w:p w14:paraId="5BB00370" w14:textId="77777777" w:rsidR="00EB6C2F" w:rsidRDefault="00EB6C2F" w:rsidP="00864C14">
      <w:pPr>
        <w:spacing w:after="0"/>
        <w:ind w:right="662"/>
      </w:pPr>
    </w:p>
    <w:p w14:paraId="5BB00371" w14:textId="77777777" w:rsidR="004B2049" w:rsidRDefault="00AC5E4F" w:rsidP="00864C14">
      <w:pPr>
        <w:pStyle w:val="ListParagraph"/>
        <w:numPr>
          <w:ilvl w:val="0"/>
          <w:numId w:val="9"/>
        </w:numPr>
        <w:spacing w:after="0"/>
        <w:ind w:right="662"/>
      </w:pPr>
      <w:r>
        <w:t>Firm representatives</w:t>
      </w:r>
      <w:r w:rsidR="00FA70B1">
        <w:t>, other intermediaries and external compliance providers</w:t>
      </w:r>
      <w:r w:rsidR="00EB6C2F">
        <w:t>………14</w:t>
      </w:r>
    </w:p>
    <w:p w14:paraId="5BB00372" w14:textId="77777777" w:rsidR="00216BF7" w:rsidRDefault="00216BF7" w:rsidP="008775D1">
      <w:pPr>
        <w:spacing w:after="0"/>
      </w:pPr>
    </w:p>
    <w:p w14:paraId="5BB00373" w14:textId="77777777" w:rsidR="008775D1" w:rsidRDefault="008775D1" w:rsidP="008775D1">
      <w:pPr>
        <w:spacing w:after="0"/>
      </w:pPr>
    </w:p>
    <w:p w14:paraId="5BB00374" w14:textId="77777777" w:rsidR="00865C35" w:rsidRDefault="00865C35">
      <w:r>
        <w:br w:type="page"/>
      </w:r>
    </w:p>
    <w:p w14:paraId="5BB00375" w14:textId="77777777" w:rsidR="00865C35" w:rsidRPr="002F4221" w:rsidRDefault="002F4221" w:rsidP="002F4221">
      <w:pPr>
        <w:spacing w:after="0"/>
        <w:rPr>
          <w:rFonts w:ascii="Arial" w:hAnsi="Arial" w:cs="Arial"/>
          <w:color w:val="0070C0"/>
          <w:sz w:val="32"/>
          <w:szCs w:val="32"/>
        </w:rPr>
      </w:pPr>
      <w:r w:rsidRPr="002F4221">
        <w:rPr>
          <w:rFonts w:ascii="Arial" w:hAnsi="Arial" w:cs="Arial"/>
          <w:color w:val="0070C0"/>
          <w:sz w:val="32"/>
          <w:szCs w:val="32"/>
        </w:rPr>
        <w:lastRenderedPageBreak/>
        <w:t>1.</w:t>
      </w:r>
      <w:r>
        <w:rPr>
          <w:rFonts w:ascii="Arial" w:hAnsi="Arial" w:cs="Arial"/>
          <w:color w:val="0070C0"/>
          <w:sz w:val="32"/>
          <w:szCs w:val="32"/>
        </w:rPr>
        <w:t xml:space="preserve"> </w:t>
      </w:r>
      <w:r w:rsidR="00865C35" w:rsidRPr="002F4221">
        <w:rPr>
          <w:rFonts w:ascii="Arial" w:hAnsi="Arial" w:cs="Arial"/>
          <w:color w:val="0070C0"/>
          <w:sz w:val="32"/>
          <w:szCs w:val="32"/>
        </w:rPr>
        <w:t>Introduction and application</w:t>
      </w:r>
    </w:p>
    <w:p w14:paraId="5BB00376" w14:textId="77777777" w:rsidR="003F1B89" w:rsidRDefault="003F1B89" w:rsidP="00865C35">
      <w:pPr>
        <w:spacing w:after="0"/>
      </w:pPr>
    </w:p>
    <w:tbl>
      <w:tblPr>
        <w:tblStyle w:val="TableGrid"/>
        <w:tblW w:w="0" w:type="auto"/>
        <w:tblLook w:val="04A0" w:firstRow="1" w:lastRow="0" w:firstColumn="1" w:lastColumn="0" w:noHBand="0" w:noVBand="1"/>
      </w:tblPr>
      <w:tblGrid>
        <w:gridCol w:w="846"/>
        <w:gridCol w:w="8170"/>
      </w:tblGrid>
      <w:tr w:rsidR="00D342A8" w14:paraId="5BB0037C" w14:textId="77777777" w:rsidTr="00DE5AB0">
        <w:tc>
          <w:tcPr>
            <w:tcW w:w="846" w:type="dxa"/>
          </w:tcPr>
          <w:p w14:paraId="5BB00377" w14:textId="77777777" w:rsidR="00DE5AB0" w:rsidRDefault="00DE5AB0" w:rsidP="003F1B89"/>
          <w:p w14:paraId="5BB00378" w14:textId="77777777" w:rsidR="00D342A8" w:rsidRDefault="00DE5AB0" w:rsidP="003F1B89">
            <w:r>
              <w:t>1.1</w:t>
            </w:r>
          </w:p>
        </w:tc>
        <w:tc>
          <w:tcPr>
            <w:tcW w:w="8170" w:type="dxa"/>
          </w:tcPr>
          <w:p w14:paraId="5BB00379" w14:textId="77777777" w:rsidR="00D342A8" w:rsidRDefault="00D342A8" w:rsidP="003F1B89"/>
          <w:p w14:paraId="5BB0037A" w14:textId="77777777" w:rsidR="00D342A8" w:rsidRDefault="00D342A8" w:rsidP="003F1B89">
            <w:r>
              <w:t>These Regulations apply to all members of the IPA who are authorised by the IPA to take insolvency appointments, or are in the process of applying for authorisation.</w:t>
            </w:r>
          </w:p>
          <w:p w14:paraId="5BB0037B" w14:textId="77777777" w:rsidR="00D342A8" w:rsidRDefault="00D342A8" w:rsidP="00865C35"/>
        </w:tc>
      </w:tr>
      <w:tr w:rsidR="00D342A8" w14:paraId="5BB0038C" w14:textId="77777777" w:rsidTr="00DE5AB0">
        <w:tc>
          <w:tcPr>
            <w:tcW w:w="846" w:type="dxa"/>
          </w:tcPr>
          <w:p w14:paraId="5BB0037D" w14:textId="77777777" w:rsidR="00DE5AB0" w:rsidRDefault="00DE5AB0" w:rsidP="003F1B89"/>
          <w:p w14:paraId="5BB0037E" w14:textId="77777777" w:rsidR="00D342A8" w:rsidRDefault="00DE5AB0" w:rsidP="003F1B89">
            <w:r>
              <w:t>1.2</w:t>
            </w:r>
          </w:p>
        </w:tc>
        <w:tc>
          <w:tcPr>
            <w:tcW w:w="8170" w:type="dxa"/>
          </w:tcPr>
          <w:p w14:paraId="5BB0037F" w14:textId="77777777" w:rsidR="00D342A8" w:rsidRDefault="00D342A8" w:rsidP="003F1B89"/>
          <w:p w14:paraId="5BB00380" w14:textId="77777777" w:rsidR="00D342A8" w:rsidRDefault="00D342A8" w:rsidP="003F1B89">
            <w:r>
              <w:t xml:space="preserve">These Regulations should be read in conjunction with: </w:t>
            </w:r>
          </w:p>
          <w:p w14:paraId="5BB00381" w14:textId="77777777" w:rsidR="00D342A8" w:rsidRDefault="00D342A8" w:rsidP="003F1B89"/>
          <w:p w14:paraId="5BB00382" w14:textId="3FE209F0" w:rsidR="00D342A8" w:rsidRDefault="0025785C" w:rsidP="003F1B89">
            <w:pPr>
              <w:pStyle w:val="ListParagraph"/>
              <w:numPr>
                <w:ilvl w:val="0"/>
                <w:numId w:val="1"/>
              </w:numPr>
            </w:pPr>
            <w:r>
              <w:t>Regulation &amp; Conduct</w:t>
            </w:r>
            <w:r w:rsidR="00D342A8">
              <w:t xml:space="preserve"> Committee Rules (‘</w:t>
            </w:r>
            <w:r>
              <w:t xml:space="preserve">Regulatory Rules </w:t>
            </w:r>
            <w:r w:rsidR="009F5836">
              <w:t>&amp; Conduct</w:t>
            </w:r>
            <w:r w:rsidR="00D342A8">
              <w:t xml:space="preserve"> Rules’</w:t>
            </w:r>
            <w:proofErr w:type="gramStart"/>
            <w:r w:rsidR="00D342A8">
              <w:t>);</w:t>
            </w:r>
            <w:proofErr w:type="gramEnd"/>
            <w:r w:rsidR="00D342A8">
              <w:t xml:space="preserve"> </w:t>
            </w:r>
          </w:p>
          <w:p w14:paraId="5BB00384" w14:textId="2DD2AF23" w:rsidR="00E1070A" w:rsidRDefault="00E1070A" w:rsidP="003F1B89">
            <w:pPr>
              <w:pStyle w:val="ListParagraph"/>
              <w:numPr>
                <w:ilvl w:val="0"/>
                <w:numId w:val="1"/>
              </w:numPr>
            </w:pPr>
            <w:r>
              <w:t>Disciplinary Rules (‘D</w:t>
            </w:r>
            <w:r w:rsidR="00782A4D">
              <w:t>isciplinary</w:t>
            </w:r>
            <w:r>
              <w:t xml:space="preserve"> Rules’</w:t>
            </w:r>
            <w:proofErr w:type="gramStart"/>
            <w:r>
              <w:t>);</w:t>
            </w:r>
            <w:proofErr w:type="gramEnd"/>
          </w:p>
          <w:p w14:paraId="5BB00385" w14:textId="77777777" w:rsidR="00D342A8" w:rsidRDefault="00D342A8" w:rsidP="003F1B89">
            <w:pPr>
              <w:pStyle w:val="ListParagraph"/>
              <w:numPr>
                <w:ilvl w:val="0"/>
                <w:numId w:val="1"/>
              </w:numPr>
            </w:pPr>
            <w:r>
              <w:t>Insolvency Practitioner Authorisation Criteria (‘Authorisation Criteria’);</w:t>
            </w:r>
          </w:p>
          <w:p w14:paraId="5BB00386" w14:textId="77777777" w:rsidR="00163401" w:rsidRDefault="00163401" w:rsidP="003F1B89">
            <w:pPr>
              <w:pStyle w:val="ListParagraph"/>
              <w:numPr>
                <w:ilvl w:val="0"/>
                <w:numId w:val="1"/>
              </w:numPr>
            </w:pPr>
            <w:r>
              <w:t>Guide to Continuing Professional Education (‘CPE Guidance’)</w:t>
            </w:r>
          </w:p>
          <w:p w14:paraId="5BB00387" w14:textId="77777777" w:rsidR="00D342A8" w:rsidRDefault="00D342A8" w:rsidP="003F1B89">
            <w:pPr>
              <w:pStyle w:val="ListParagraph"/>
              <w:numPr>
                <w:ilvl w:val="0"/>
                <w:numId w:val="1"/>
              </w:numPr>
            </w:pPr>
            <w:r>
              <w:t>IPA Articles of Association (‘Articles’);</w:t>
            </w:r>
          </w:p>
          <w:p w14:paraId="5BB00388" w14:textId="77777777" w:rsidR="00D342A8" w:rsidRDefault="00D342A8" w:rsidP="003F1B89">
            <w:pPr>
              <w:pStyle w:val="ListParagraph"/>
              <w:numPr>
                <w:ilvl w:val="0"/>
                <w:numId w:val="1"/>
              </w:numPr>
            </w:pPr>
            <w:r>
              <w:t>Common Sanctions Guidance (‘CSG’).</w:t>
            </w:r>
          </w:p>
          <w:p w14:paraId="5BB00389" w14:textId="77777777" w:rsidR="00D342A8" w:rsidRDefault="00D342A8" w:rsidP="003F1B89"/>
          <w:p w14:paraId="5BB0038A" w14:textId="77777777" w:rsidR="00D342A8" w:rsidRDefault="00D342A8" w:rsidP="003F1B89">
            <w:r>
              <w:t>The above information sources document the rules and guidelines to be followed by insolvency licence holders/applicants and the applicable IPA regulatory committees.</w:t>
            </w:r>
          </w:p>
          <w:p w14:paraId="5BB0038B" w14:textId="77777777" w:rsidR="00D342A8" w:rsidRDefault="00D342A8" w:rsidP="00865C35"/>
        </w:tc>
      </w:tr>
      <w:tr w:rsidR="00D342A8" w14:paraId="5BB00392" w14:textId="77777777" w:rsidTr="00DE5AB0">
        <w:tc>
          <w:tcPr>
            <w:tcW w:w="846" w:type="dxa"/>
          </w:tcPr>
          <w:p w14:paraId="5BB0038D" w14:textId="77777777" w:rsidR="00DE5AB0" w:rsidRDefault="00DE5AB0" w:rsidP="003F1B89"/>
          <w:p w14:paraId="5BB0038E" w14:textId="77777777" w:rsidR="00D342A8" w:rsidRDefault="00DE5AB0" w:rsidP="003F1B89">
            <w:r>
              <w:t>1.3</w:t>
            </w:r>
          </w:p>
        </w:tc>
        <w:tc>
          <w:tcPr>
            <w:tcW w:w="8170" w:type="dxa"/>
          </w:tcPr>
          <w:p w14:paraId="5BB0038F" w14:textId="77777777" w:rsidR="00D342A8" w:rsidRDefault="00D342A8" w:rsidP="003F1B89"/>
          <w:p w14:paraId="5BB00390" w14:textId="77777777" w:rsidR="00D342A8" w:rsidRDefault="00D342A8" w:rsidP="003F1B89">
            <w:r>
              <w:t xml:space="preserve">These regulations clarify how IPs are required to engage with the Committees/Secretariat in the course of </w:t>
            </w:r>
            <w:r w:rsidR="004F5197">
              <w:t>conducting the IPA’s regulatory</w:t>
            </w:r>
            <w:r>
              <w:t xml:space="preserve"> activities and set out the expected consequences for an IP departing from those requirements.</w:t>
            </w:r>
          </w:p>
          <w:p w14:paraId="5BB00391" w14:textId="77777777" w:rsidR="00D342A8" w:rsidRDefault="00D342A8" w:rsidP="00865C35"/>
        </w:tc>
      </w:tr>
    </w:tbl>
    <w:p w14:paraId="5BB00393" w14:textId="77777777" w:rsidR="003F1B89" w:rsidRDefault="003F1B89" w:rsidP="00865C35">
      <w:pPr>
        <w:spacing w:after="0"/>
      </w:pPr>
    </w:p>
    <w:p w14:paraId="5BB00394" w14:textId="77777777" w:rsidR="00CC25A9" w:rsidRDefault="00CC25A9" w:rsidP="00865C35">
      <w:pPr>
        <w:spacing w:after="0"/>
      </w:pPr>
    </w:p>
    <w:p w14:paraId="5BB00395" w14:textId="77777777" w:rsidR="00973995" w:rsidRDefault="00973995" w:rsidP="00865C35">
      <w:pPr>
        <w:spacing w:after="0"/>
      </w:pPr>
    </w:p>
    <w:p w14:paraId="5BB00396" w14:textId="77777777" w:rsidR="00865C35" w:rsidRDefault="00865C35" w:rsidP="00865C35">
      <w:pPr>
        <w:spacing w:after="0"/>
      </w:pPr>
    </w:p>
    <w:p w14:paraId="5BB00397" w14:textId="77777777" w:rsidR="00865C35" w:rsidRDefault="00865C35">
      <w:r>
        <w:br w:type="page"/>
      </w:r>
    </w:p>
    <w:p w14:paraId="5BB00398" w14:textId="77777777" w:rsidR="00865C35" w:rsidRPr="00CC25A9" w:rsidRDefault="002F4221" w:rsidP="00865C35">
      <w:pPr>
        <w:spacing w:after="0"/>
        <w:rPr>
          <w:rFonts w:ascii="Arial" w:hAnsi="Arial" w:cs="Arial"/>
          <w:color w:val="0070C0"/>
          <w:sz w:val="32"/>
          <w:szCs w:val="32"/>
        </w:rPr>
      </w:pPr>
      <w:r>
        <w:rPr>
          <w:rFonts w:ascii="Arial" w:hAnsi="Arial" w:cs="Arial"/>
          <w:color w:val="0070C0"/>
          <w:sz w:val="32"/>
          <w:szCs w:val="32"/>
        </w:rPr>
        <w:lastRenderedPageBreak/>
        <w:t xml:space="preserve">2. </w:t>
      </w:r>
      <w:r w:rsidR="00865C35" w:rsidRPr="00CC25A9">
        <w:rPr>
          <w:rFonts w:ascii="Arial" w:hAnsi="Arial" w:cs="Arial"/>
          <w:color w:val="0070C0"/>
          <w:sz w:val="32"/>
          <w:szCs w:val="32"/>
        </w:rPr>
        <w:t>Definitions</w:t>
      </w:r>
    </w:p>
    <w:p w14:paraId="5BB00399" w14:textId="77777777" w:rsidR="00865C35" w:rsidRDefault="00865C35" w:rsidP="00865C35">
      <w:pPr>
        <w:spacing w:after="0"/>
      </w:pPr>
    </w:p>
    <w:p w14:paraId="5BB0039A" w14:textId="77732E76" w:rsidR="00CC25A9" w:rsidRDefault="00CC25A9" w:rsidP="00CC25A9">
      <w:pPr>
        <w:spacing w:after="0"/>
      </w:pPr>
      <w:r>
        <w:t xml:space="preserve">The definitions listed in the </w:t>
      </w:r>
      <w:r w:rsidR="009F5836">
        <w:t>Regulatory</w:t>
      </w:r>
      <w:r>
        <w:t xml:space="preserve"> Rules, C</w:t>
      </w:r>
      <w:r w:rsidR="009F5836">
        <w:t>onduct</w:t>
      </w:r>
      <w:r>
        <w:t xml:space="preserve"> Rules, </w:t>
      </w:r>
      <w:r w:rsidR="00E1070A">
        <w:t>D</w:t>
      </w:r>
      <w:r w:rsidR="00782A4D">
        <w:t>isciplinary Rules</w:t>
      </w:r>
      <w:r w:rsidR="00E1070A">
        <w:t xml:space="preserve">, </w:t>
      </w:r>
      <w:r>
        <w:t xml:space="preserve">Authorisation </w:t>
      </w:r>
      <w:proofErr w:type="gramStart"/>
      <w:r>
        <w:t>Criteria</w:t>
      </w:r>
      <w:proofErr w:type="gramEnd"/>
      <w:r>
        <w:t xml:space="preserve"> and the Articles apply to these Regulations, with the following additions:</w:t>
      </w:r>
    </w:p>
    <w:p w14:paraId="5BB0039B" w14:textId="77777777" w:rsidR="00CC25A9" w:rsidRDefault="00CC25A9" w:rsidP="00CC25A9">
      <w:pPr>
        <w:spacing w:after="0"/>
      </w:pPr>
    </w:p>
    <w:tbl>
      <w:tblPr>
        <w:tblStyle w:val="TableGrid"/>
        <w:tblW w:w="0" w:type="auto"/>
        <w:tblLook w:val="04A0" w:firstRow="1" w:lastRow="0" w:firstColumn="1" w:lastColumn="0" w:noHBand="0" w:noVBand="1"/>
      </w:tblPr>
      <w:tblGrid>
        <w:gridCol w:w="2689"/>
        <w:gridCol w:w="6327"/>
      </w:tblGrid>
      <w:tr w:rsidR="003B4AD9" w14:paraId="5BB0039E" w14:textId="77777777" w:rsidTr="004F5197">
        <w:tc>
          <w:tcPr>
            <w:tcW w:w="2689" w:type="dxa"/>
          </w:tcPr>
          <w:p w14:paraId="5BB0039C" w14:textId="77777777" w:rsidR="003B4AD9" w:rsidRDefault="003B4AD9" w:rsidP="00CC25A9">
            <w:r>
              <w:t>Authorisation</w:t>
            </w:r>
          </w:p>
        </w:tc>
        <w:tc>
          <w:tcPr>
            <w:tcW w:w="6327" w:type="dxa"/>
          </w:tcPr>
          <w:p w14:paraId="5BB0039D" w14:textId="77777777" w:rsidR="003B4AD9" w:rsidRDefault="003B4AD9" w:rsidP="00CC25A9">
            <w:r>
              <w:t>Insolvency licence, enabling the holder to accept insolvency appointments.</w:t>
            </w:r>
          </w:p>
        </w:tc>
      </w:tr>
      <w:tr w:rsidR="004F5197" w14:paraId="5BB003A1" w14:textId="77777777" w:rsidTr="004F5197">
        <w:tc>
          <w:tcPr>
            <w:tcW w:w="2689" w:type="dxa"/>
          </w:tcPr>
          <w:p w14:paraId="5BB0039F" w14:textId="77777777" w:rsidR="004F5197" w:rsidRDefault="004F5197" w:rsidP="00CC25A9">
            <w:r>
              <w:t>Authorisation Criteria</w:t>
            </w:r>
          </w:p>
        </w:tc>
        <w:tc>
          <w:tcPr>
            <w:tcW w:w="6327" w:type="dxa"/>
          </w:tcPr>
          <w:p w14:paraId="5BB003A0" w14:textId="0747463F" w:rsidR="004F5197" w:rsidRDefault="00C665C1" w:rsidP="00CC25A9">
            <w:r>
              <w:t>Information issued from time to time by</w:t>
            </w:r>
            <w:r w:rsidR="005D13ED">
              <w:t xml:space="preserve"> the</w:t>
            </w:r>
            <w:r>
              <w:t xml:space="preserve"> IPA </w:t>
            </w:r>
            <w:r w:rsidR="005D13ED">
              <w:t>Board</w:t>
            </w:r>
            <w:r>
              <w:t xml:space="preserve">, listing the requirements that must be met </w:t>
            </w:r>
            <w:proofErr w:type="gramStart"/>
            <w:r>
              <w:t>in order to</w:t>
            </w:r>
            <w:proofErr w:type="gramEnd"/>
            <w:r>
              <w:t xml:space="preserve"> be authorised by the IPA.  Available from the IPA website.</w:t>
            </w:r>
          </w:p>
        </w:tc>
      </w:tr>
      <w:tr w:rsidR="004F5197" w14:paraId="5BB003A4" w14:textId="77777777" w:rsidTr="004F5197">
        <w:tc>
          <w:tcPr>
            <w:tcW w:w="2689" w:type="dxa"/>
          </w:tcPr>
          <w:p w14:paraId="5BB003A2" w14:textId="77777777" w:rsidR="004F5197" w:rsidRDefault="004F5197" w:rsidP="00CC25A9">
            <w:r>
              <w:t>CPE</w:t>
            </w:r>
          </w:p>
        </w:tc>
        <w:tc>
          <w:tcPr>
            <w:tcW w:w="6327" w:type="dxa"/>
          </w:tcPr>
          <w:p w14:paraId="5BB003A3" w14:textId="77777777" w:rsidR="004F5197" w:rsidRDefault="00C665C1" w:rsidP="00CC25A9">
            <w:r>
              <w:t>Continuing Professional Education, referring to the number of hours undertaken in professional learning and development.</w:t>
            </w:r>
          </w:p>
        </w:tc>
      </w:tr>
      <w:tr w:rsidR="004F5197" w14:paraId="5BB003A7" w14:textId="77777777" w:rsidTr="004F5197">
        <w:tc>
          <w:tcPr>
            <w:tcW w:w="2689" w:type="dxa"/>
          </w:tcPr>
          <w:p w14:paraId="5BB003A5" w14:textId="77777777" w:rsidR="004F5197" w:rsidRDefault="004F5197" w:rsidP="00CC25A9">
            <w:r>
              <w:t>CPE Guidance</w:t>
            </w:r>
          </w:p>
        </w:tc>
        <w:tc>
          <w:tcPr>
            <w:tcW w:w="6327" w:type="dxa"/>
          </w:tcPr>
          <w:p w14:paraId="5BB003A6" w14:textId="34E48662" w:rsidR="004F5197" w:rsidRDefault="00C665C1" w:rsidP="00CC25A9">
            <w:r>
              <w:t xml:space="preserve">Information issued from time to time by </w:t>
            </w:r>
            <w:r w:rsidR="005D13ED">
              <w:t xml:space="preserve">the </w:t>
            </w:r>
            <w:r>
              <w:t xml:space="preserve">IPA </w:t>
            </w:r>
            <w:r w:rsidR="005D13ED">
              <w:t>Board</w:t>
            </w:r>
            <w:r>
              <w:t>, listing the requirements on the IPA membership for gaining CPE.</w:t>
            </w:r>
          </w:p>
        </w:tc>
      </w:tr>
      <w:tr w:rsidR="004F5197" w14:paraId="5BB003AA" w14:textId="77777777" w:rsidTr="004F5197">
        <w:tc>
          <w:tcPr>
            <w:tcW w:w="2689" w:type="dxa"/>
          </w:tcPr>
          <w:p w14:paraId="5BB003A8" w14:textId="77777777" w:rsidR="004F5197" w:rsidRDefault="004F5197" w:rsidP="00CC25A9">
            <w:r>
              <w:t>CSG</w:t>
            </w:r>
          </w:p>
        </w:tc>
        <w:tc>
          <w:tcPr>
            <w:tcW w:w="6327" w:type="dxa"/>
          </w:tcPr>
          <w:p w14:paraId="5BB003A9" w14:textId="77777777" w:rsidR="004F5197" w:rsidRDefault="00C665C1" w:rsidP="00CC25A9">
            <w:r>
              <w:t>Common Sanctions Guidance issued by the Insolvency Service from time to time in consultation with the insolvency regulators.</w:t>
            </w:r>
          </w:p>
        </w:tc>
      </w:tr>
      <w:tr w:rsidR="004F5197" w14:paraId="5BB003AD" w14:textId="77777777" w:rsidTr="004F5197">
        <w:tc>
          <w:tcPr>
            <w:tcW w:w="2689" w:type="dxa"/>
          </w:tcPr>
          <w:p w14:paraId="5BB003AB" w14:textId="2B644472" w:rsidR="004F5197" w:rsidRDefault="004F5197" w:rsidP="00CC25A9">
            <w:r>
              <w:t>D</w:t>
            </w:r>
            <w:r w:rsidR="00782A4D">
              <w:t>&amp;AC</w:t>
            </w:r>
          </w:p>
        </w:tc>
        <w:tc>
          <w:tcPr>
            <w:tcW w:w="6327" w:type="dxa"/>
          </w:tcPr>
          <w:p w14:paraId="5BB003AC" w14:textId="012FDC1A" w:rsidR="004F5197" w:rsidRDefault="00B81665" w:rsidP="00CC25A9">
            <w:r>
              <w:t xml:space="preserve">The </w:t>
            </w:r>
            <w:r w:rsidR="00C665C1">
              <w:t xml:space="preserve">IPA Disciplinary </w:t>
            </w:r>
            <w:r w:rsidR="00782A4D">
              <w:t xml:space="preserve">&amp; Appeals </w:t>
            </w:r>
            <w:r w:rsidR="00C665C1">
              <w:t>Committee</w:t>
            </w:r>
            <w:r>
              <w:t xml:space="preserve">, which sits </w:t>
            </w:r>
            <w:r w:rsidR="00782A4D">
              <w:t>as a</w:t>
            </w:r>
            <w:r>
              <w:t xml:space="preserve"> </w:t>
            </w:r>
            <w:r w:rsidR="00782A4D">
              <w:t>Disciplinary T</w:t>
            </w:r>
            <w:r>
              <w:t>ribunal to determine whether disciplinary action against an IPA member is required.</w:t>
            </w:r>
            <w:r w:rsidR="00782A4D">
              <w:t xml:space="preserve"> Or as an Appeals Panel to hear appeals against decisions made the R&amp;CC under the Conduct Rules or a Disciplinary Tribunal under the Disciplinary Rules.</w:t>
            </w:r>
          </w:p>
        </w:tc>
      </w:tr>
      <w:tr w:rsidR="004F5197" w14:paraId="5BB003B0" w14:textId="77777777" w:rsidTr="004F5197">
        <w:tc>
          <w:tcPr>
            <w:tcW w:w="2689" w:type="dxa"/>
          </w:tcPr>
          <w:p w14:paraId="5BB003AE" w14:textId="77777777" w:rsidR="004F5197" w:rsidRDefault="004F5197" w:rsidP="00CC25A9">
            <w:r>
              <w:t>GDPR</w:t>
            </w:r>
          </w:p>
        </w:tc>
        <w:tc>
          <w:tcPr>
            <w:tcW w:w="6327" w:type="dxa"/>
          </w:tcPr>
          <w:p w14:paraId="5BB003AF" w14:textId="77777777" w:rsidR="004F5197" w:rsidRDefault="00C665C1" w:rsidP="00CC25A9">
            <w:r>
              <w:t>General Data Protection Regulation, concerning the processing of personal information.</w:t>
            </w:r>
          </w:p>
        </w:tc>
      </w:tr>
      <w:tr w:rsidR="004F5197" w14:paraId="5BB003B3" w14:textId="77777777" w:rsidTr="004F5197">
        <w:tc>
          <w:tcPr>
            <w:tcW w:w="2689" w:type="dxa"/>
          </w:tcPr>
          <w:p w14:paraId="5BB003B1" w14:textId="77777777" w:rsidR="004F5197" w:rsidRDefault="004F5197" w:rsidP="00CC25A9">
            <w:r>
              <w:t>General bond</w:t>
            </w:r>
          </w:p>
        </w:tc>
        <w:tc>
          <w:tcPr>
            <w:tcW w:w="6327" w:type="dxa"/>
          </w:tcPr>
          <w:p w14:paraId="5BB003B2" w14:textId="77777777" w:rsidR="004F5197" w:rsidRDefault="003B4AD9" w:rsidP="00CC25A9">
            <w:r>
              <w:t>C</w:t>
            </w:r>
            <w:r w:rsidR="00C665C1">
              <w:t xml:space="preserve">over for </w:t>
            </w:r>
            <w:r>
              <w:t xml:space="preserve">the assets under the control of </w:t>
            </w:r>
            <w:r w:rsidR="00C665C1">
              <w:t>appointment-taking IPs</w:t>
            </w:r>
            <w:r>
              <w:t>, across all appointments held, up to a set limit.</w:t>
            </w:r>
          </w:p>
        </w:tc>
      </w:tr>
      <w:tr w:rsidR="00C665C1" w14:paraId="5BB003B9" w14:textId="77777777" w:rsidTr="004F5197">
        <w:tc>
          <w:tcPr>
            <w:tcW w:w="2689" w:type="dxa"/>
          </w:tcPr>
          <w:p w14:paraId="5BB003B7" w14:textId="77777777" w:rsidR="00C665C1" w:rsidRDefault="00C665C1" w:rsidP="00CC25A9">
            <w:r>
              <w:t>IP</w:t>
            </w:r>
          </w:p>
        </w:tc>
        <w:tc>
          <w:tcPr>
            <w:tcW w:w="6327" w:type="dxa"/>
          </w:tcPr>
          <w:p w14:paraId="5BB003B8" w14:textId="77777777" w:rsidR="00C665C1" w:rsidRDefault="00C665C1" w:rsidP="00CC25A9">
            <w:r>
              <w:t>Insolvency Practitioner</w:t>
            </w:r>
          </w:p>
        </w:tc>
      </w:tr>
      <w:tr w:rsidR="004F5197" w14:paraId="5BB003BC" w14:textId="77777777" w:rsidTr="004F5197">
        <w:tc>
          <w:tcPr>
            <w:tcW w:w="2689" w:type="dxa"/>
          </w:tcPr>
          <w:p w14:paraId="5BB003BA" w14:textId="4D60B197" w:rsidR="004F5197" w:rsidRDefault="005D13ED" w:rsidP="00CC25A9">
            <w:r>
              <w:t>R&amp;CC</w:t>
            </w:r>
          </w:p>
        </w:tc>
        <w:tc>
          <w:tcPr>
            <w:tcW w:w="6327" w:type="dxa"/>
          </w:tcPr>
          <w:p w14:paraId="30D183CA" w14:textId="77777777" w:rsidR="004F5197" w:rsidRDefault="004F5197" w:rsidP="00CC25A9">
            <w:r>
              <w:t xml:space="preserve">The IPA </w:t>
            </w:r>
            <w:r w:rsidR="005D13ED">
              <w:t>Regulation &amp; Conduct</w:t>
            </w:r>
            <w:r>
              <w:t xml:space="preserve"> Committee, responsible for approving authorisation applications along with assessing the continuing fitness of authorised IPs.</w:t>
            </w:r>
            <w:r w:rsidR="00B81665">
              <w:t xml:space="preserve">  The </w:t>
            </w:r>
            <w:r w:rsidR="005D13ED">
              <w:t>R&amp;CC</w:t>
            </w:r>
            <w:r w:rsidR="00B81665">
              <w:t xml:space="preserve"> can take steps to restrict or withdraw insolvency authorisations when it is concerned about an IP’s fitness.  </w:t>
            </w:r>
            <w:r w:rsidR="005D13ED">
              <w:t>R&amp;CC</w:t>
            </w:r>
            <w:r w:rsidR="00B81665">
              <w:t xml:space="preserve"> is also able to restrict an authorisation without notice on an emergency basis </w:t>
            </w:r>
            <w:proofErr w:type="gramStart"/>
            <w:r w:rsidR="00B81665">
              <w:t>in order to</w:t>
            </w:r>
            <w:proofErr w:type="gramEnd"/>
            <w:r w:rsidR="00B81665">
              <w:t xml:space="preserve"> protect the public.</w:t>
            </w:r>
          </w:p>
          <w:p w14:paraId="5FD88782" w14:textId="77777777" w:rsidR="00394947" w:rsidRDefault="00394947" w:rsidP="00CC25A9"/>
          <w:p w14:paraId="5BB003BB" w14:textId="7F1BDB2A" w:rsidR="00394947" w:rsidRDefault="00394947" w:rsidP="00CC25A9">
            <w:r>
              <w:t xml:space="preserve">The R&amp;CC is also responsible for considering complaints against IPA members, where applicable determining whether a member is liable to disciplinary action on a prima facie basis.  The R&amp;CC may invite a member to consent to a disciplinary order encompassing reprimand, fine and costs and may refer complaints to the </w:t>
            </w:r>
            <w:r w:rsidR="00782A4D">
              <w:t>D&amp;AC</w:t>
            </w:r>
            <w:r>
              <w:t>.</w:t>
            </w:r>
          </w:p>
        </w:tc>
      </w:tr>
    </w:tbl>
    <w:p w14:paraId="5BB003BD" w14:textId="77777777" w:rsidR="00865C35" w:rsidRDefault="00865C35" w:rsidP="00865C35">
      <w:pPr>
        <w:spacing w:after="0"/>
      </w:pPr>
    </w:p>
    <w:p w14:paraId="5BB003BE" w14:textId="77777777" w:rsidR="00865C35" w:rsidRDefault="00865C35">
      <w:r>
        <w:br w:type="page"/>
      </w:r>
    </w:p>
    <w:p w14:paraId="5BB003BF" w14:textId="77777777" w:rsidR="00865C35" w:rsidRPr="00CC25A9" w:rsidRDefault="002F4221" w:rsidP="00865C35">
      <w:pPr>
        <w:spacing w:after="0"/>
        <w:rPr>
          <w:rFonts w:ascii="Arial" w:hAnsi="Arial" w:cs="Arial"/>
          <w:color w:val="0070C0"/>
          <w:sz w:val="32"/>
          <w:szCs w:val="32"/>
        </w:rPr>
      </w:pPr>
      <w:r>
        <w:rPr>
          <w:rFonts w:ascii="Arial" w:hAnsi="Arial" w:cs="Arial"/>
          <w:color w:val="0070C0"/>
          <w:sz w:val="32"/>
          <w:szCs w:val="32"/>
        </w:rPr>
        <w:lastRenderedPageBreak/>
        <w:t xml:space="preserve">3. </w:t>
      </w:r>
      <w:r w:rsidR="00865C35" w:rsidRPr="00CC25A9">
        <w:rPr>
          <w:rFonts w:ascii="Arial" w:hAnsi="Arial" w:cs="Arial"/>
          <w:color w:val="0070C0"/>
          <w:sz w:val="32"/>
          <w:szCs w:val="32"/>
        </w:rPr>
        <w:t>Application</w:t>
      </w:r>
      <w:r w:rsidR="00E1070A">
        <w:rPr>
          <w:rFonts w:ascii="Arial" w:hAnsi="Arial" w:cs="Arial"/>
          <w:color w:val="0070C0"/>
          <w:sz w:val="32"/>
          <w:szCs w:val="32"/>
        </w:rPr>
        <w:t>s</w:t>
      </w:r>
      <w:r w:rsidR="00865C35" w:rsidRPr="00CC25A9">
        <w:rPr>
          <w:rFonts w:ascii="Arial" w:hAnsi="Arial" w:cs="Arial"/>
          <w:color w:val="0070C0"/>
          <w:sz w:val="32"/>
          <w:szCs w:val="32"/>
        </w:rPr>
        <w:t xml:space="preserve"> for authorisation</w:t>
      </w:r>
      <w:r w:rsidR="00E1070A">
        <w:rPr>
          <w:rFonts w:ascii="Arial" w:hAnsi="Arial" w:cs="Arial"/>
          <w:color w:val="0070C0"/>
          <w:sz w:val="32"/>
          <w:szCs w:val="32"/>
        </w:rPr>
        <w:t xml:space="preserve"> and authorisation renewal</w:t>
      </w:r>
    </w:p>
    <w:p w14:paraId="5BB003C0" w14:textId="77777777" w:rsidR="00865C35" w:rsidRDefault="00865C35" w:rsidP="00865C35">
      <w:pPr>
        <w:spacing w:after="0"/>
      </w:pPr>
    </w:p>
    <w:tbl>
      <w:tblPr>
        <w:tblStyle w:val="TableGrid"/>
        <w:tblW w:w="0" w:type="auto"/>
        <w:tblLook w:val="04A0" w:firstRow="1" w:lastRow="0" w:firstColumn="1" w:lastColumn="0" w:noHBand="0" w:noVBand="1"/>
      </w:tblPr>
      <w:tblGrid>
        <w:gridCol w:w="704"/>
        <w:gridCol w:w="8312"/>
      </w:tblGrid>
      <w:tr w:rsidR="003E70F8" w:rsidRPr="003E70F8" w14:paraId="5BB003C3" w14:textId="77777777" w:rsidTr="003E70F8">
        <w:tc>
          <w:tcPr>
            <w:tcW w:w="704" w:type="dxa"/>
          </w:tcPr>
          <w:p w14:paraId="5BB003C1" w14:textId="77777777" w:rsidR="003E70F8" w:rsidRPr="003E70F8" w:rsidRDefault="003E70F8" w:rsidP="00865C35">
            <w:pPr>
              <w:rPr>
                <w:b/>
              </w:rPr>
            </w:pPr>
            <w:r w:rsidRPr="003E70F8">
              <w:rPr>
                <w:b/>
              </w:rPr>
              <w:t>3.1</w:t>
            </w:r>
          </w:p>
        </w:tc>
        <w:tc>
          <w:tcPr>
            <w:tcW w:w="8312" w:type="dxa"/>
          </w:tcPr>
          <w:p w14:paraId="5BB003C2" w14:textId="77777777" w:rsidR="003E70F8" w:rsidRPr="003E70F8" w:rsidRDefault="002626E5" w:rsidP="00865C35">
            <w:pPr>
              <w:rPr>
                <w:b/>
              </w:rPr>
            </w:pPr>
            <w:r>
              <w:rPr>
                <w:b/>
              </w:rPr>
              <w:t>Incomplete</w:t>
            </w:r>
            <w:r w:rsidR="00177813">
              <w:rPr>
                <w:b/>
              </w:rPr>
              <w:t>/</w:t>
            </w:r>
            <w:r>
              <w:rPr>
                <w:b/>
              </w:rPr>
              <w:t>Ineligible A</w:t>
            </w:r>
            <w:r w:rsidR="003E70F8" w:rsidRPr="003E70F8">
              <w:rPr>
                <w:b/>
              </w:rPr>
              <w:t>pplications</w:t>
            </w:r>
            <w:r w:rsidR="00177813">
              <w:rPr>
                <w:b/>
              </w:rPr>
              <w:t xml:space="preserve"> For Authorisation</w:t>
            </w:r>
          </w:p>
        </w:tc>
      </w:tr>
      <w:tr w:rsidR="003E70F8" w14:paraId="5BB003C9" w14:textId="77777777" w:rsidTr="003E70F8">
        <w:tc>
          <w:tcPr>
            <w:tcW w:w="704" w:type="dxa"/>
          </w:tcPr>
          <w:p w14:paraId="5BB003C4" w14:textId="77777777" w:rsidR="003E70F8" w:rsidRDefault="003E70F8" w:rsidP="00865C35"/>
          <w:p w14:paraId="5BB003C5" w14:textId="77777777" w:rsidR="003E70F8" w:rsidRDefault="003E70F8" w:rsidP="00865C35">
            <w:r>
              <w:t>3.1.1</w:t>
            </w:r>
          </w:p>
        </w:tc>
        <w:tc>
          <w:tcPr>
            <w:tcW w:w="8312" w:type="dxa"/>
          </w:tcPr>
          <w:p w14:paraId="5BB003C6" w14:textId="77777777" w:rsidR="003E70F8" w:rsidRDefault="003E70F8" w:rsidP="00865C35"/>
          <w:p w14:paraId="5BB003C7" w14:textId="77777777" w:rsidR="003E70F8" w:rsidRDefault="003E70F8" w:rsidP="00865C35">
            <w:r>
              <w:t>Upon receipt of a completed application form, the IPA Secretariat will conduct a review against the IPA Authorisation Criteria.</w:t>
            </w:r>
          </w:p>
          <w:p w14:paraId="5BB003C8" w14:textId="77777777" w:rsidR="003E70F8" w:rsidRDefault="003E70F8" w:rsidP="00865C35"/>
        </w:tc>
      </w:tr>
      <w:tr w:rsidR="003E70F8" w14:paraId="5BB003D4" w14:textId="77777777" w:rsidTr="003E70F8">
        <w:tc>
          <w:tcPr>
            <w:tcW w:w="704" w:type="dxa"/>
          </w:tcPr>
          <w:p w14:paraId="5BB003CA" w14:textId="77777777" w:rsidR="003E70F8" w:rsidRDefault="003E70F8" w:rsidP="00865C35"/>
          <w:p w14:paraId="5BB003CB" w14:textId="77777777" w:rsidR="003E70F8" w:rsidRDefault="003E70F8" w:rsidP="00865C35">
            <w:r>
              <w:t>3.1.2</w:t>
            </w:r>
          </w:p>
        </w:tc>
        <w:tc>
          <w:tcPr>
            <w:tcW w:w="8312" w:type="dxa"/>
          </w:tcPr>
          <w:p w14:paraId="5BB003CC" w14:textId="77777777" w:rsidR="003E70F8" w:rsidRDefault="003E70F8" w:rsidP="00865C35"/>
          <w:p w14:paraId="5BB003CD" w14:textId="77777777" w:rsidR="003E70F8" w:rsidRDefault="003E70F8" w:rsidP="00865C35">
            <w:r>
              <w:t>Where a received application form:</w:t>
            </w:r>
          </w:p>
          <w:p w14:paraId="5BB003CE" w14:textId="77777777" w:rsidR="003E70F8" w:rsidRDefault="003E70F8" w:rsidP="00865C35"/>
          <w:p w14:paraId="5BB003CF" w14:textId="77777777" w:rsidR="003E70F8" w:rsidRDefault="003E70F8" w:rsidP="003E70F8">
            <w:pPr>
              <w:pStyle w:val="ListParagraph"/>
              <w:numPr>
                <w:ilvl w:val="0"/>
                <w:numId w:val="7"/>
              </w:numPr>
            </w:pPr>
            <w:r>
              <w:t>is incomplete; or</w:t>
            </w:r>
          </w:p>
          <w:p w14:paraId="5BB003D0" w14:textId="77777777" w:rsidR="003E70F8" w:rsidRDefault="003E70F8" w:rsidP="003E70F8">
            <w:pPr>
              <w:pStyle w:val="ListParagraph"/>
              <w:numPr>
                <w:ilvl w:val="0"/>
                <w:numId w:val="7"/>
              </w:numPr>
            </w:pPr>
            <w:r>
              <w:t>the requirements of the Authorisation Criteria have not been met</w:t>
            </w:r>
          </w:p>
          <w:p w14:paraId="5BB003D1" w14:textId="77777777" w:rsidR="003E70F8" w:rsidRDefault="003E70F8" w:rsidP="003E70F8"/>
          <w:p w14:paraId="5BB003D2" w14:textId="77777777" w:rsidR="003E70F8" w:rsidRDefault="003E70F8" w:rsidP="003E70F8">
            <w:r>
              <w:t>the Secretariat will contact the applicant to advise them and invite them to submit a revised application form or confirm that the application is withdrawn.</w:t>
            </w:r>
          </w:p>
          <w:p w14:paraId="5BB003D3" w14:textId="77777777" w:rsidR="003E70F8" w:rsidRDefault="003E70F8" w:rsidP="00865C35"/>
        </w:tc>
      </w:tr>
      <w:tr w:rsidR="003E70F8" w14:paraId="5BB003DB" w14:textId="77777777" w:rsidTr="003E70F8">
        <w:tc>
          <w:tcPr>
            <w:tcW w:w="704" w:type="dxa"/>
          </w:tcPr>
          <w:p w14:paraId="5BB003D5" w14:textId="77777777" w:rsidR="003E70F8" w:rsidRDefault="003E70F8" w:rsidP="00865C35"/>
          <w:p w14:paraId="5BB003D6" w14:textId="77777777" w:rsidR="003E70F8" w:rsidRDefault="003E70F8" w:rsidP="00865C35">
            <w:r>
              <w:t>3.1.3</w:t>
            </w:r>
          </w:p>
          <w:p w14:paraId="5BB003D7" w14:textId="77777777" w:rsidR="003E70F8" w:rsidRDefault="003E70F8" w:rsidP="00865C35"/>
        </w:tc>
        <w:tc>
          <w:tcPr>
            <w:tcW w:w="8312" w:type="dxa"/>
          </w:tcPr>
          <w:p w14:paraId="5BB003D8" w14:textId="77777777" w:rsidR="003E70F8" w:rsidRDefault="003E70F8" w:rsidP="00865C35"/>
          <w:p w14:paraId="5BB003D9" w14:textId="73C91566" w:rsidR="003E70F8" w:rsidRDefault="003E70F8" w:rsidP="00865C35">
            <w:r>
              <w:t>If no response is received to any communication issued by the Secretariat under [3.1.2] by the deadline stipulated in that communication</w:t>
            </w:r>
            <w:r w:rsidR="00394947">
              <w:t>,</w:t>
            </w:r>
            <w:r>
              <w:t xml:space="preserve"> then the app</w:t>
            </w:r>
            <w:r w:rsidR="002626E5">
              <w:t>lication as received will be referred to</w:t>
            </w:r>
            <w:r>
              <w:t xml:space="preserve"> </w:t>
            </w:r>
            <w:r w:rsidR="005D13ED">
              <w:t>R&amp;CC</w:t>
            </w:r>
            <w:r>
              <w:t xml:space="preserve"> </w:t>
            </w:r>
            <w:r w:rsidR="002626E5">
              <w:t>at the next opportunity.</w:t>
            </w:r>
          </w:p>
          <w:p w14:paraId="5BB003DA" w14:textId="77777777" w:rsidR="002626E5" w:rsidRDefault="002626E5" w:rsidP="00865C35"/>
        </w:tc>
      </w:tr>
      <w:tr w:rsidR="002626E5" w14:paraId="5BB003E1" w14:textId="77777777" w:rsidTr="003E70F8">
        <w:tc>
          <w:tcPr>
            <w:tcW w:w="704" w:type="dxa"/>
          </w:tcPr>
          <w:p w14:paraId="5BB003DC" w14:textId="77777777" w:rsidR="002626E5" w:rsidRDefault="002626E5" w:rsidP="00865C35"/>
          <w:p w14:paraId="5BB003DD" w14:textId="77777777" w:rsidR="002626E5" w:rsidRDefault="002626E5" w:rsidP="00865C35">
            <w:r>
              <w:t>3.1.4</w:t>
            </w:r>
          </w:p>
        </w:tc>
        <w:tc>
          <w:tcPr>
            <w:tcW w:w="8312" w:type="dxa"/>
          </w:tcPr>
          <w:p w14:paraId="5BB003DE" w14:textId="77777777" w:rsidR="002626E5" w:rsidRDefault="002626E5" w:rsidP="00865C35"/>
          <w:p w14:paraId="5BB003DF" w14:textId="2D87E134" w:rsidR="00177813" w:rsidRDefault="00177813" w:rsidP="00865C35">
            <w:r>
              <w:t>Any revised application received by the Secretariat</w:t>
            </w:r>
            <w:r w:rsidR="008C0D4D">
              <w:t xml:space="preserve"> </w:t>
            </w:r>
            <w:r>
              <w:t>will be referred</w:t>
            </w:r>
            <w:r w:rsidR="008C0D4D">
              <w:t xml:space="preserve"> to </w:t>
            </w:r>
            <w:r w:rsidR="005D13ED">
              <w:t>R&amp;CC</w:t>
            </w:r>
            <w:r w:rsidR="008C0D4D">
              <w:t xml:space="preserve"> at the next opportunity </w:t>
            </w:r>
            <w:proofErr w:type="gramStart"/>
            <w:r w:rsidR="008C0D4D">
              <w:t>whether or not</w:t>
            </w:r>
            <w:proofErr w:type="gramEnd"/>
            <w:r w:rsidR="008C0D4D">
              <w:t xml:space="preserve"> the matters identified at [3.1.2] have been corrected.</w:t>
            </w:r>
          </w:p>
          <w:p w14:paraId="5BB003E0" w14:textId="77777777" w:rsidR="00177813" w:rsidRDefault="00177813" w:rsidP="00865C35"/>
        </w:tc>
      </w:tr>
    </w:tbl>
    <w:p w14:paraId="5BB003E2" w14:textId="77777777" w:rsidR="00E1070A" w:rsidRDefault="00E1070A" w:rsidP="00865C35">
      <w:pPr>
        <w:spacing w:after="0"/>
      </w:pPr>
    </w:p>
    <w:tbl>
      <w:tblPr>
        <w:tblStyle w:val="TableGrid"/>
        <w:tblW w:w="0" w:type="auto"/>
        <w:tblLook w:val="04A0" w:firstRow="1" w:lastRow="0" w:firstColumn="1" w:lastColumn="0" w:noHBand="0" w:noVBand="1"/>
      </w:tblPr>
      <w:tblGrid>
        <w:gridCol w:w="704"/>
        <w:gridCol w:w="8312"/>
      </w:tblGrid>
      <w:tr w:rsidR="002626E5" w:rsidRPr="002626E5" w14:paraId="5BB003E5" w14:textId="77777777" w:rsidTr="002626E5">
        <w:tc>
          <w:tcPr>
            <w:tcW w:w="704" w:type="dxa"/>
          </w:tcPr>
          <w:p w14:paraId="5BB003E3" w14:textId="77777777" w:rsidR="002626E5" w:rsidRPr="002626E5" w:rsidRDefault="002626E5" w:rsidP="00865C35">
            <w:pPr>
              <w:rPr>
                <w:b/>
              </w:rPr>
            </w:pPr>
            <w:r w:rsidRPr="002626E5">
              <w:rPr>
                <w:b/>
              </w:rPr>
              <w:t>3.2</w:t>
            </w:r>
          </w:p>
        </w:tc>
        <w:tc>
          <w:tcPr>
            <w:tcW w:w="8312" w:type="dxa"/>
          </w:tcPr>
          <w:p w14:paraId="5BB003E4" w14:textId="77777777" w:rsidR="002626E5" w:rsidRPr="002626E5" w:rsidRDefault="002626E5" w:rsidP="00865C35">
            <w:pPr>
              <w:rPr>
                <w:b/>
              </w:rPr>
            </w:pPr>
            <w:r w:rsidRPr="002626E5">
              <w:rPr>
                <w:b/>
              </w:rPr>
              <w:t>General Penalty Bond</w:t>
            </w:r>
          </w:p>
        </w:tc>
      </w:tr>
      <w:tr w:rsidR="002626E5" w14:paraId="5BB003EC" w14:textId="77777777" w:rsidTr="002626E5">
        <w:tc>
          <w:tcPr>
            <w:tcW w:w="704" w:type="dxa"/>
          </w:tcPr>
          <w:p w14:paraId="5BB003E6" w14:textId="77777777" w:rsidR="002626E5" w:rsidRDefault="002626E5" w:rsidP="00865C35"/>
          <w:p w14:paraId="5BB003E7" w14:textId="77777777" w:rsidR="002626E5" w:rsidRDefault="002626E5" w:rsidP="00865C35">
            <w:r>
              <w:t>3.2.1</w:t>
            </w:r>
          </w:p>
          <w:p w14:paraId="5BB003E8" w14:textId="77777777" w:rsidR="002626E5" w:rsidRDefault="002626E5" w:rsidP="00865C35"/>
        </w:tc>
        <w:tc>
          <w:tcPr>
            <w:tcW w:w="8312" w:type="dxa"/>
          </w:tcPr>
          <w:p w14:paraId="5BB003E9" w14:textId="77777777" w:rsidR="002626E5" w:rsidRDefault="002626E5" w:rsidP="00865C35"/>
          <w:p w14:paraId="5BB003EA" w14:textId="77777777" w:rsidR="002626E5" w:rsidRDefault="002626E5" w:rsidP="00865C35">
            <w:r>
              <w:t xml:space="preserve">Applicants for appointment-taking authorisation are required to provide a copy of their </w:t>
            </w:r>
            <w:r w:rsidR="008C0D4D">
              <w:t xml:space="preserve">general </w:t>
            </w:r>
            <w:r>
              <w:t xml:space="preserve">bond with their application.  Failure to provide a </w:t>
            </w:r>
            <w:r w:rsidR="008C0D4D">
              <w:t>copy of the bond will constitute an incomplete application, under [3.1.2].</w:t>
            </w:r>
          </w:p>
          <w:p w14:paraId="5BB003EB" w14:textId="77777777" w:rsidR="002626E5" w:rsidRDefault="002626E5" w:rsidP="00865C35"/>
        </w:tc>
      </w:tr>
      <w:tr w:rsidR="002626E5" w14:paraId="5BB003F3" w14:textId="77777777" w:rsidTr="002626E5">
        <w:tc>
          <w:tcPr>
            <w:tcW w:w="704" w:type="dxa"/>
          </w:tcPr>
          <w:p w14:paraId="5BB003ED" w14:textId="77777777" w:rsidR="002626E5" w:rsidRDefault="002626E5" w:rsidP="00865C35"/>
          <w:p w14:paraId="5BB003EE" w14:textId="77777777" w:rsidR="008C0D4D" w:rsidRDefault="008C0D4D" w:rsidP="00865C35">
            <w:r>
              <w:t>3.2.2</w:t>
            </w:r>
          </w:p>
          <w:p w14:paraId="5BB003EF" w14:textId="77777777" w:rsidR="008C0D4D" w:rsidRDefault="008C0D4D" w:rsidP="00865C35"/>
        </w:tc>
        <w:tc>
          <w:tcPr>
            <w:tcW w:w="8312" w:type="dxa"/>
          </w:tcPr>
          <w:p w14:paraId="5BB003F0" w14:textId="77777777" w:rsidR="002626E5" w:rsidRDefault="002626E5" w:rsidP="00865C35"/>
          <w:p w14:paraId="5BB003F1" w14:textId="77777777" w:rsidR="008C0D4D" w:rsidRDefault="008C0D4D" w:rsidP="00865C35">
            <w:r>
              <w:t>Once authorised, IPs with an appointment-taking authorisation must have a general bond in place at all times.  Prior to the expiry of an existing general bond, an IP with appointment-taking authorisation must ensure that bond cover has been renewed if they are to continue taking appointments following expiry of their existing bond.</w:t>
            </w:r>
          </w:p>
          <w:p w14:paraId="5BB003F2" w14:textId="77777777" w:rsidR="008C0D4D" w:rsidRDefault="008C0D4D" w:rsidP="00865C35"/>
        </w:tc>
      </w:tr>
      <w:tr w:rsidR="008C0D4D" w14:paraId="5BB003F9" w14:textId="77777777" w:rsidTr="002626E5">
        <w:tc>
          <w:tcPr>
            <w:tcW w:w="704" w:type="dxa"/>
          </w:tcPr>
          <w:p w14:paraId="5BB003F4" w14:textId="77777777" w:rsidR="008C0D4D" w:rsidRDefault="008C0D4D" w:rsidP="00865C35"/>
          <w:p w14:paraId="5BB003F5" w14:textId="77777777" w:rsidR="008C0D4D" w:rsidRDefault="008C0D4D" w:rsidP="00865C35">
            <w:r>
              <w:t>3.2.3</w:t>
            </w:r>
          </w:p>
        </w:tc>
        <w:tc>
          <w:tcPr>
            <w:tcW w:w="8312" w:type="dxa"/>
          </w:tcPr>
          <w:p w14:paraId="5BB003F6" w14:textId="77777777" w:rsidR="008C0D4D" w:rsidRDefault="008C0D4D" w:rsidP="00865C35"/>
          <w:p w14:paraId="5BB003F7" w14:textId="77777777" w:rsidR="008C0D4D" w:rsidRDefault="00426184" w:rsidP="00865C35">
            <w:r>
              <w:t>IPs with appointment-taking authorisation must send to the Secretariat, a copy of their general bond cover for a forthcoming period prior to expiry of their existing bond cover.</w:t>
            </w:r>
          </w:p>
          <w:p w14:paraId="5BB003F8" w14:textId="77777777" w:rsidR="008C0D4D" w:rsidRDefault="008C0D4D" w:rsidP="00865C35"/>
        </w:tc>
      </w:tr>
      <w:tr w:rsidR="00426184" w14:paraId="5BB00400" w14:textId="77777777" w:rsidTr="002626E5">
        <w:tc>
          <w:tcPr>
            <w:tcW w:w="704" w:type="dxa"/>
          </w:tcPr>
          <w:p w14:paraId="5BB003FA" w14:textId="77777777" w:rsidR="00426184" w:rsidRDefault="00426184" w:rsidP="00865C35"/>
          <w:p w14:paraId="5BB003FB" w14:textId="77777777" w:rsidR="00426184" w:rsidRDefault="00426184" w:rsidP="00865C35">
            <w:r>
              <w:t>3.2.4</w:t>
            </w:r>
          </w:p>
          <w:p w14:paraId="5BB003FC" w14:textId="77777777" w:rsidR="00426184" w:rsidRDefault="00426184" w:rsidP="00865C35"/>
        </w:tc>
        <w:tc>
          <w:tcPr>
            <w:tcW w:w="8312" w:type="dxa"/>
          </w:tcPr>
          <w:p w14:paraId="5BB003FD" w14:textId="77777777" w:rsidR="00426184" w:rsidRDefault="00426184" w:rsidP="00865C35"/>
          <w:p w14:paraId="5BB003FE" w14:textId="6CE7CCFD" w:rsidR="00426184" w:rsidRDefault="00426184" w:rsidP="00865C35">
            <w:r>
              <w:t xml:space="preserve">A failure to provide a copy general bond at [3.2.3] will be referred immediately to </w:t>
            </w:r>
            <w:r w:rsidR="005D13ED">
              <w:t>R&amp;CC</w:t>
            </w:r>
            <w:r>
              <w:t xml:space="preserve"> by the Secretariat.</w:t>
            </w:r>
          </w:p>
          <w:p w14:paraId="5BB003FF" w14:textId="77777777" w:rsidR="00426184" w:rsidRDefault="00426184" w:rsidP="00865C35"/>
        </w:tc>
      </w:tr>
      <w:tr w:rsidR="00426184" w14:paraId="5BB00407" w14:textId="77777777" w:rsidTr="002626E5">
        <w:tc>
          <w:tcPr>
            <w:tcW w:w="704" w:type="dxa"/>
          </w:tcPr>
          <w:p w14:paraId="5BB00401" w14:textId="77777777" w:rsidR="00426184" w:rsidRDefault="00426184" w:rsidP="00865C35"/>
          <w:p w14:paraId="5BB00402" w14:textId="77777777" w:rsidR="00426184" w:rsidRDefault="00426184" w:rsidP="00865C35">
            <w:r>
              <w:t>3.2.5</w:t>
            </w:r>
          </w:p>
        </w:tc>
        <w:tc>
          <w:tcPr>
            <w:tcW w:w="8312" w:type="dxa"/>
          </w:tcPr>
          <w:p w14:paraId="5BB00403" w14:textId="77777777" w:rsidR="00426184" w:rsidRDefault="00426184" w:rsidP="00865C35"/>
          <w:p w14:paraId="5BB00404" w14:textId="3DA9D5A7" w:rsidR="00426184" w:rsidRDefault="00426184" w:rsidP="00865C35">
            <w:r>
              <w:t xml:space="preserve">A failure to provide a copy general bond at [3.2.3] is grounds for an emergency licence restriction under the </w:t>
            </w:r>
            <w:r w:rsidR="005D13ED">
              <w:t>Regulatory</w:t>
            </w:r>
            <w:r>
              <w:t xml:space="preserve"> Rules.</w:t>
            </w:r>
          </w:p>
          <w:p w14:paraId="5BB00405" w14:textId="77777777" w:rsidR="00426184" w:rsidRDefault="00426184" w:rsidP="00865C35"/>
          <w:p w14:paraId="5BB00406" w14:textId="77777777" w:rsidR="00426184" w:rsidRDefault="00426184" w:rsidP="00865C35"/>
        </w:tc>
      </w:tr>
      <w:tr w:rsidR="00426184" w14:paraId="5BB0040D" w14:textId="77777777" w:rsidTr="002626E5">
        <w:tc>
          <w:tcPr>
            <w:tcW w:w="704" w:type="dxa"/>
          </w:tcPr>
          <w:p w14:paraId="5BB00408" w14:textId="77777777" w:rsidR="00426184" w:rsidRDefault="00426184" w:rsidP="00865C35"/>
          <w:p w14:paraId="5BB00409" w14:textId="77777777" w:rsidR="00426184" w:rsidRDefault="00426184" w:rsidP="00865C35">
            <w:r>
              <w:t>3.2.6</w:t>
            </w:r>
          </w:p>
        </w:tc>
        <w:tc>
          <w:tcPr>
            <w:tcW w:w="8312" w:type="dxa"/>
          </w:tcPr>
          <w:p w14:paraId="5BB0040A" w14:textId="77777777" w:rsidR="00426184" w:rsidRDefault="00426184" w:rsidP="00865C35"/>
          <w:p w14:paraId="5BB0040B" w14:textId="2F05FE31" w:rsidR="00426184" w:rsidRDefault="00426184" w:rsidP="00865C35">
            <w:r>
              <w:t xml:space="preserve">Notwithstanding any action taken by </w:t>
            </w:r>
            <w:r w:rsidR="00394947">
              <w:t>R&amp;CC</w:t>
            </w:r>
            <w:r w:rsidR="0083297B">
              <w:t xml:space="preserve"> following a referral under [3.2.4]</w:t>
            </w:r>
            <w:r>
              <w:t xml:space="preserve">, the provision of a copy </w:t>
            </w:r>
            <w:r w:rsidR="0083297B">
              <w:t xml:space="preserve">renewed or new </w:t>
            </w:r>
            <w:r>
              <w:t xml:space="preserve">general bond after the expiry </w:t>
            </w:r>
            <w:r w:rsidR="0083297B">
              <w:t xml:space="preserve">of the existing bond will constitute grounds for a referral to the </w:t>
            </w:r>
            <w:r w:rsidR="00394947">
              <w:t>R&amp;CC</w:t>
            </w:r>
            <w:r w:rsidR="0083297B">
              <w:t xml:space="preserve"> under the </w:t>
            </w:r>
            <w:r w:rsidR="00394947">
              <w:t>Conduct Rules</w:t>
            </w:r>
            <w:r w:rsidR="0083297B">
              <w:t xml:space="preserve"> and the Secretariat is obliged to make such referrals without exception.</w:t>
            </w:r>
          </w:p>
          <w:p w14:paraId="5BB0040C" w14:textId="77777777" w:rsidR="0083297B" w:rsidRDefault="0083297B" w:rsidP="00865C35"/>
        </w:tc>
      </w:tr>
    </w:tbl>
    <w:p w14:paraId="5BB0040E" w14:textId="77777777" w:rsidR="00CF2BFC" w:rsidRDefault="00CF2BFC" w:rsidP="00865C35">
      <w:pPr>
        <w:spacing w:after="0"/>
      </w:pPr>
    </w:p>
    <w:p w14:paraId="5BB0040F" w14:textId="77777777" w:rsidR="00865C35" w:rsidRDefault="00865C35" w:rsidP="00865C35">
      <w:pPr>
        <w:spacing w:after="0"/>
      </w:pPr>
    </w:p>
    <w:p w14:paraId="5BB00410" w14:textId="77777777" w:rsidR="00865C35" w:rsidRDefault="00865C35">
      <w:r>
        <w:br w:type="page"/>
      </w:r>
    </w:p>
    <w:p w14:paraId="5BB00411" w14:textId="77777777" w:rsidR="00865C35" w:rsidRPr="00CC25A9" w:rsidRDefault="002F4221" w:rsidP="00865C35">
      <w:pPr>
        <w:spacing w:after="0"/>
        <w:rPr>
          <w:rFonts w:ascii="Arial" w:hAnsi="Arial" w:cs="Arial"/>
          <w:color w:val="0070C0"/>
          <w:sz w:val="32"/>
          <w:szCs w:val="32"/>
        </w:rPr>
      </w:pPr>
      <w:r>
        <w:rPr>
          <w:rFonts w:ascii="Arial" w:hAnsi="Arial" w:cs="Arial"/>
          <w:color w:val="0070C0"/>
          <w:sz w:val="32"/>
          <w:szCs w:val="32"/>
        </w:rPr>
        <w:lastRenderedPageBreak/>
        <w:t xml:space="preserve">4. </w:t>
      </w:r>
      <w:r w:rsidR="00865C35" w:rsidRPr="00CC25A9">
        <w:rPr>
          <w:rFonts w:ascii="Arial" w:hAnsi="Arial" w:cs="Arial"/>
          <w:color w:val="0070C0"/>
          <w:sz w:val="32"/>
          <w:szCs w:val="32"/>
        </w:rPr>
        <w:t>Ongoing obligations for authorised insolvency practitioners</w:t>
      </w:r>
    </w:p>
    <w:p w14:paraId="5BB00412" w14:textId="77777777" w:rsidR="00865C35" w:rsidRDefault="00865C35" w:rsidP="00865C35">
      <w:pPr>
        <w:spacing w:after="0"/>
      </w:pPr>
    </w:p>
    <w:p w14:paraId="5BB00413" w14:textId="77777777" w:rsidR="00415DF1" w:rsidRDefault="00415DF1" w:rsidP="00865C35">
      <w:pPr>
        <w:spacing w:after="0"/>
      </w:pPr>
    </w:p>
    <w:tbl>
      <w:tblPr>
        <w:tblStyle w:val="TableGrid"/>
        <w:tblW w:w="0" w:type="auto"/>
        <w:tblLook w:val="04A0" w:firstRow="1" w:lastRow="0" w:firstColumn="1" w:lastColumn="0" w:noHBand="0" w:noVBand="1"/>
      </w:tblPr>
      <w:tblGrid>
        <w:gridCol w:w="662"/>
        <w:gridCol w:w="8354"/>
      </w:tblGrid>
      <w:tr w:rsidR="007302DB" w:rsidRPr="005069CD" w14:paraId="5BB00416" w14:textId="77777777" w:rsidTr="00870C03">
        <w:tc>
          <w:tcPr>
            <w:tcW w:w="662" w:type="dxa"/>
          </w:tcPr>
          <w:p w14:paraId="5BB00414" w14:textId="77777777" w:rsidR="007302DB" w:rsidRPr="005069CD" w:rsidRDefault="007302DB" w:rsidP="00EB6C2F">
            <w:pPr>
              <w:rPr>
                <w:b/>
              </w:rPr>
            </w:pPr>
            <w:r>
              <w:rPr>
                <w:b/>
              </w:rPr>
              <w:t>4.1</w:t>
            </w:r>
          </w:p>
        </w:tc>
        <w:tc>
          <w:tcPr>
            <w:tcW w:w="8354" w:type="dxa"/>
          </w:tcPr>
          <w:p w14:paraId="5BB00415" w14:textId="77777777" w:rsidR="007302DB" w:rsidRPr="005069CD" w:rsidRDefault="007302DB" w:rsidP="00EB6C2F">
            <w:pPr>
              <w:rPr>
                <w:b/>
              </w:rPr>
            </w:pPr>
            <w:r w:rsidRPr="005069CD">
              <w:rPr>
                <w:b/>
              </w:rPr>
              <w:t>Cooperation with IPA Secretariat</w:t>
            </w:r>
          </w:p>
        </w:tc>
      </w:tr>
      <w:tr w:rsidR="007302DB" w14:paraId="5BB0041C" w14:textId="77777777" w:rsidTr="00870C03">
        <w:tc>
          <w:tcPr>
            <w:tcW w:w="662" w:type="dxa"/>
          </w:tcPr>
          <w:p w14:paraId="5BB00417" w14:textId="77777777" w:rsidR="007302DB" w:rsidRDefault="007302DB" w:rsidP="00EB6C2F"/>
          <w:p w14:paraId="5BB00418" w14:textId="77777777" w:rsidR="007302DB" w:rsidRDefault="007302DB" w:rsidP="00EB6C2F">
            <w:r>
              <w:t>4.1.1</w:t>
            </w:r>
          </w:p>
        </w:tc>
        <w:tc>
          <w:tcPr>
            <w:tcW w:w="8354" w:type="dxa"/>
          </w:tcPr>
          <w:p w14:paraId="5BB00419" w14:textId="77777777" w:rsidR="007302DB" w:rsidRDefault="007302DB" w:rsidP="00EB6C2F"/>
          <w:p w14:paraId="5BB0041A" w14:textId="77777777" w:rsidR="007302DB" w:rsidRDefault="007302DB" w:rsidP="00EB6C2F">
            <w:r>
              <w:t>The IPA has limited resources and is often subject to competin</w:t>
            </w:r>
            <w:r w:rsidR="00E1070A">
              <w:t>g priorities.  It is vital that</w:t>
            </w:r>
            <w:r w:rsidR="00BC67B8">
              <w:t xml:space="preserve"> </w:t>
            </w:r>
            <w:r>
              <w:t xml:space="preserve">the Secretariat receives full cooperation from IPs in order that the IPA is able to comply with its obligations as a regulator and operate efficiently.  </w:t>
            </w:r>
            <w:r w:rsidR="00705D59">
              <w:t>IPs should also appreciate that the Secretariat may not, despite requesting prompt action by</w:t>
            </w:r>
            <w:r w:rsidR="00E1070A">
              <w:t xml:space="preserve"> IPs</w:t>
            </w:r>
            <w:r w:rsidR="00705D59">
              <w:t xml:space="preserve"> </w:t>
            </w:r>
            <w:r w:rsidR="00E1070A">
              <w:t>or responses from</w:t>
            </w:r>
            <w:r w:rsidR="00705D59">
              <w:t xml:space="preserve"> IP</w:t>
            </w:r>
            <w:r w:rsidR="00E1070A">
              <w:t>s</w:t>
            </w:r>
            <w:r w:rsidR="00705D59">
              <w:t>, be able to revert to IPs as quickly as both parties would like in some instances due to competing priorities.</w:t>
            </w:r>
          </w:p>
          <w:p w14:paraId="5BB0041B" w14:textId="77777777" w:rsidR="007302DB" w:rsidRDefault="007302DB" w:rsidP="00EB6C2F"/>
        </w:tc>
      </w:tr>
      <w:tr w:rsidR="007302DB" w14:paraId="5BB00423" w14:textId="77777777" w:rsidTr="00870C03">
        <w:tc>
          <w:tcPr>
            <w:tcW w:w="662" w:type="dxa"/>
          </w:tcPr>
          <w:p w14:paraId="5BB0041D" w14:textId="77777777" w:rsidR="007302DB" w:rsidRDefault="007302DB" w:rsidP="00EB6C2F"/>
          <w:p w14:paraId="5BB0041E" w14:textId="77777777" w:rsidR="007302DB" w:rsidRDefault="007302DB" w:rsidP="00EB6C2F">
            <w:r>
              <w:t>4.1.2</w:t>
            </w:r>
          </w:p>
        </w:tc>
        <w:tc>
          <w:tcPr>
            <w:tcW w:w="8354" w:type="dxa"/>
          </w:tcPr>
          <w:p w14:paraId="5BB0041F" w14:textId="77777777" w:rsidR="007302DB" w:rsidRDefault="007302DB" w:rsidP="00EB6C2F"/>
          <w:p w14:paraId="5BB00420" w14:textId="77777777" w:rsidR="003F30CE" w:rsidRDefault="007302DB" w:rsidP="00EB6C2F">
            <w:r>
              <w:t xml:space="preserve">IPs are required to respond promptly to communications issued by the IPA Secretariat and within the timeframes specified.  </w:t>
            </w:r>
            <w:r w:rsidR="003F30CE">
              <w:t>If an IP is unable to respond to a communication for legitimate reasons, then they must contact the Secretariat to agree an extension</w:t>
            </w:r>
            <w:r w:rsidR="00E1070A">
              <w:t>.  Where an extension is not</w:t>
            </w:r>
            <w:r w:rsidR="003F30CE">
              <w:t xml:space="preserve"> agreed </w:t>
            </w:r>
            <w:r w:rsidR="00E1070A">
              <w:t xml:space="preserve">in writing </w:t>
            </w:r>
            <w:r w:rsidR="003F30CE">
              <w:t xml:space="preserve">then the original deadline must be observed.  </w:t>
            </w:r>
          </w:p>
          <w:p w14:paraId="5BB00422" w14:textId="77777777" w:rsidR="007302DB" w:rsidRDefault="007302DB" w:rsidP="00EB6C2F"/>
        </w:tc>
      </w:tr>
      <w:tr w:rsidR="007302DB" w14:paraId="5BB00429" w14:textId="77777777" w:rsidTr="00870C03">
        <w:tc>
          <w:tcPr>
            <w:tcW w:w="662" w:type="dxa"/>
          </w:tcPr>
          <w:p w14:paraId="5BB00424" w14:textId="77777777" w:rsidR="007302DB" w:rsidRDefault="007302DB" w:rsidP="00EB6C2F"/>
          <w:p w14:paraId="5BB00425" w14:textId="77777777" w:rsidR="00D342A8" w:rsidRDefault="00D342A8" w:rsidP="00EB6C2F">
            <w:r>
              <w:t>4.1.3</w:t>
            </w:r>
          </w:p>
        </w:tc>
        <w:tc>
          <w:tcPr>
            <w:tcW w:w="8354" w:type="dxa"/>
          </w:tcPr>
          <w:p w14:paraId="5BB00426" w14:textId="77777777" w:rsidR="007302DB" w:rsidRDefault="007302DB" w:rsidP="00EB6C2F"/>
          <w:p w14:paraId="5BB00427" w14:textId="6CB0AF03" w:rsidR="00532741" w:rsidRDefault="00B45551" w:rsidP="00EB6C2F">
            <w:r>
              <w:t>Subject to [4.1.4], a</w:t>
            </w:r>
            <w:r w:rsidR="00532741">
              <w:t xml:space="preserve"> failure by an IP to respond to the IPA Secretariat </w:t>
            </w:r>
            <w:r w:rsidR="00F92E38">
              <w:t xml:space="preserve">by the deadline </w:t>
            </w:r>
            <w:r w:rsidR="003F30CE">
              <w:t>set</w:t>
            </w:r>
            <w:r w:rsidR="00532741">
              <w:t xml:space="preserve"> in relation to any matter will constitute grounds for a referral to the </w:t>
            </w:r>
            <w:r w:rsidR="00394947">
              <w:t>R&amp;CC</w:t>
            </w:r>
            <w:r w:rsidR="00532741">
              <w:t xml:space="preserve"> under the </w:t>
            </w:r>
            <w:r w:rsidR="00394947">
              <w:t>Conduct Rules</w:t>
            </w:r>
            <w:r w:rsidR="00F92E38">
              <w:t xml:space="preserve"> and the Secretariat is obliged to </w:t>
            </w:r>
            <w:r w:rsidR="003F30CE">
              <w:t>make such referrals without exception</w:t>
            </w:r>
            <w:r w:rsidR="00F92E38">
              <w:t xml:space="preserve">.  </w:t>
            </w:r>
            <w:r w:rsidR="00E5442F">
              <w:t xml:space="preserve">In the event of a prima facie case finding, the </w:t>
            </w:r>
            <w:r w:rsidR="00394947">
              <w:t>R&amp;CC</w:t>
            </w:r>
            <w:r w:rsidR="00E5442F">
              <w:t xml:space="preserve"> may refer to the CSG provisions regarding a failure to respond to communications when considering an appropriate sanction</w:t>
            </w:r>
            <w:r w:rsidR="00F92E38">
              <w:t xml:space="preserve">.  The provision of a response by the IP after the deadline set </w:t>
            </w:r>
            <w:r w:rsidR="003F30CE">
              <w:t xml:space="preserve">will not remove the requirement to refer the matter to the </w:t>
            </w:r>
            <w:r w:rsidR="00394947">
              <w:t>R&amp;CC</w:t>
            </w:r>
            <w:r w:rsidR="003F30CE">
              <w:t xml:space="preserve"> but </w:t>
            </w:r>
            <w:r w:rsidR="00F92E38">
              <w:t xml:space="preserve">may be taken into account as mitigation by the </w:t>
            </w:r>
            <w:r w:rsidR="00394947">
              <w:t>R&amp;CC</w:t>
            </w:r>
            <w:r w:rsidR="00F92E38">
              <w:t xml:space="preserve"> when determining what action to take following a prima facie case findi</w:t>
            </w:r>
            <w:r w:rsidR="003F30CE">
              <w:t xml:space="preserve">ng.  Without prejudice to CSG provisions, the </w:t>
            </w:r>
            <w:r w:rsidR="00394947">
              <w:t>R&amp;CC</w:t>
            </w:r>
            <w:r w:rsidR="003F30CE">
              <w:t xml:space="preserve"> may</w:t>
            </w:r>
            <w:r w:rsidR="00F92E38">
              <w:t xml:space="preserve"> </w:t>
            </w:r>
            <w:r w:rsidR="003F30CE">
              <w:t>calculate</w:t>
            </w:r>
            <w:r w:rsidR="00532741">
              <w:t xml:space="preserve"> any fine with reference to the </w:t>
            </w:r>
            <w:r w:rsidR="003F30CE">
              <w:t>number of days past the deadline that the IP response is/was overdue.</w:t>
            </w:r>
          </w:p>
          <w:p w14:paraId="5BB00428" w14:textId="77777777" w:rsidR="00532741" w:rsidRDefault="00532741" w:rsidP="00EB6C2F"/>
        </w:tc>
      </w:tr>
      <w:tr w:rsidR="00532741" w14:paraId="5BB0042F" w14:textId="77777777" w:rsidTr="00870C03">
        <w:tc>
          <w:tcPr>
            <w:tcW w:w="662" w:type="dxa"/>
          </w:tcPr>
          <w:p w14:paraId="5BB0042A" w14:textId="77777777" w:rsidR="00532741" w:rsidRDefault="00532741" w:rsidP="00EB6C2F"/>
          <w:p w14:paraId="5BB0042B" w14:textId="77777777" w:rsidR="00B45551" w:rsidRDefault="00B45551" w:rsidP="00EB6C2F">
            <w:r>
              <w:t>4.1.4</w:t>
            </w:r>
          </w:p>
        </w:tc>
        <w:tc>
          <w:tcPr>
            <w:tcW w:w="8354" w:type="dxa"/>
          </w:tcPr>
          <w:p w14:paraId="5BB0042C" w14:textId="77777777" w:rsidR="00B45551" w:rsidRDefault="00B45551" w:rsidP="00EB6C2F"/>
          <w:p w14:paraId="5BB0042D" w14:textId="174F80BB" w:rsidR="00532741" w:rsidRDefault="00B45551" w:rsidP="00EB6C2F">
            <w:r>
              <w:t xml:space="preserve">Subject to the processes set out elsewhere in these regulations and in the </w:t>
            </w:r>
            <w:r w:rsidR="00394947">
              <w:t>Regulatory</w:t>
            </w:r>
            <w:r>
              <w:t xml:space="preserve"> Rules and C</w:t>
            </w:r>
            <w:r w:rsidR="00394947">
              <w:t>onduct</w:t>
            </w:r>
            <w:r>
              <w:t xml:space="preserve"> Rules, no more than one follow up communication will be issued to an IP</w:t>
            </w:r>
            <w:r w:rsidR="00464927">
              <w:t xml:space="preserve"> by the Secretariat</w:t>
            </w:r>
            <w:r>
              <w:t xml:space="preserve">, </w:t>
            </w:r>
            <w:r w:rsidR="00BC4946">
              <w:t xml:space="preserve">at its discretion, </w:t>
            </w:r>
            <w:r>
              <w:t xml:space="preserve">allowing an IP a maximum of </w:t>
            </w:r>
            <w:r w:rsidR="00E5442F">
              <w:t>10</w:t>
            </w:r>
            <w:r>
              <w:t xml:space="preserve"> addi</w:t>
            </w:r>
            <w:r w:rsidR="00BC4946">
              <w:t>tional business days to respond and extending the deadline for the purposes of [4.1.3].</w:t>
            </w:r>
          </w:p>
          <w:p w14:paraId="5BB0042E" w14:textId="77777777" w:rsidR="00464927" w:rsidRDefault="00464927" w:rsidP="00EB6C2F"/>
        </w:tc>
      </w:tr>
      <w:tr w:rsidR="00532741" w14:paraId="5BB0043C" w14:textId="77777777" w:rsidTr="00870C03">
        <w:tc>
          <w:tcPr>
            <w:tcW w:w="662" w:type="dxa"/>
          </w:tcPr>
          <w:p w14:paraId="5BB00430" w14:textId="77777777" w:rsidR="003E1EA4" w:rsidRDefault="003E1EA4" w:rsidP="00EB6C2F"/>
          <w:p w14:paraId="5BB00431" w14:textId="77777777" w:rsidR="00532741" w:rsidRDefault="00731C2C" w:rsidP="00EB6C2F">
            <w:r>
              <w:t>4.1.5</w:t>
            </w:r>
          </w:p>
        </w:tc>
        <w:tc>
          <w:tcPr>
            <w:tcW w:w="8354" w:type="dxa"/>
          </w:tcPr>
          <w:p w14:paraId="5BB00432" w14:textId="77777777" w:rsidR="003E1EA4" w:rsidRDefault="003E1EA4" w:rsidP="00EB6C2F"/>
          <w:p w14:paraId="5BB00433" w14:textId="59676FEC" w:rsidR="003E1EA4" w:rsidRDefault="003E1EA4" w:rsidP="00EB6C2F">
            <w:r>
              <w:t xml:space="preserve">Subject to the processes set out elsewhere in these regulations and in the </w:t>
            </w:r>
            <w:r w:rsidR="00394947">
              <w:t>Regulatory Rules</w:t>
            </w:r>
            <w:r>
              <w:t xml:space="preserve"> and </w:t>
            </w:r>
            <w:r w:rsidR="00394947">
              <w:t>Conduct Rules</w:t>
            </w:r>
            <w:r w:rsidR="004435A5">
              <w:t xml:space="preserve">, any failure </w:t>
            </w:r>
            <w:r>
              <w:t>to:</w:t>
            </w:r>
          </w:p>
          <w:p w14:paraId="5BB00434" w14:textId="77777777" w:rsidR="003E1EA4" w:rsidRDefault="003E1EA4" w:rsidP="00EB6C2F"/>
          <w:p w14:paraId="5BB00435" w14:textId="5279252F" w:rsidR="00532741" w:rsidRDefault="00731C2C" w:rsidP="003E1EA4">
            <w:pPr>
              <w:pStyle w:val="ListParagraph"/>
              <w:numPr>
                <w:ilvl w:val="0"/>
                <w:numId w:val="4"/>
              </w:numPr>
            </w:pPr>
            <w:r>
              <w:t xml:space="preserve">respond to </w:t>
            </w:r>
            <w:r w:rsidR="003E1EA4">
              <w:t xml:space="preserve">regulatory notices issued under the </w:t>
            </w:r>
            <w:r w:rsidR="00394947">
              <w:t>Regulatory Rules</w:t>
            </w:r>
            <w:r w:rsidR="003E1EA4">
              <w:t>;</w:t>
            </w:r>
            <w:r w:rsidR="00511418">
              <w:t xml:space="preserve"> or</w:t>
            </w:r>
          </w:p>
          <w:p w14:paraId="5BB00436" w14:textId="084F8928" w:rsidR="003E1EA4" w:rsidRDefault="00731C2C" w:rsidP="003E1EA4">
            <w:pPr>
              <w:pStyle w:val="ListParagraph"/>
              <w:numPr>
                <w:ilvl w:val="0"/>
                <w:numId w:val="4"/>
              </w:numPr>
            </w:pPr>
            <w:r>
              <w:t xml:space="preserve">respond to </w:t>
            </w:r>
            <w:r w:rsidR="003E1EA4">
              <w:t xml:space="preserve">disciplinary notices issued under the </w:t>
            </w:r>
            <w:r w:rsidR="00394947">
              <w:t>Conduct Rules</w:t>
            </w:r>
            <w:r>
              <w:t>; or</w:t>
            </w:r>
          </w:p>
          <w:p w14:paraId="5BB00437" w14:textId="2FDDB6BE" w:rsidR="00731C2C" w:rsidRDefault="00731C2C" w:rsidP="003E1EA4">
            <w:pPr>
              <w:pStyle w:val="ListParagraph"/>
              <w:numPr>
                <w:ilvl w:val="0"/>
                <w:numId w:val="4"/>
              </w:numPr>
            </w:pPr>
            <w:r>
              <w:t xml:space="preserve">submit to processes under the </w:t>
            </w:r>
            <w:r w:rsidR="00394947">
              <w:t>Regulatory Rules</w:t>
            </w:r>
            <w:r>
              <w:t xml:space="preserve"> or </w:t>
            </w:r>
            <w:r w:rsidR="00394947">
              <w:t>Conduct Rules</w:t>
            </w:r>
            <w:r w:rsidR="009857D2">
              <w:t>; or</w:t>
            </w:r>
          </w:p>
          <w:p w14:paraId="5BB00438" w14:textId="12380260" w:rsidR="009857D2" w:rsidRDefault="009857D2" w:rsidP="003E1EA4">
            <w:pPr>
              <w:pStyle w:val="ListParagraph"/>
              <w:numPr>
                <w:ilvl w:val="0"/>
                <w:numId w:val="4"/>
              </w:numPr>
            </w:pPr>
            <w:r>
              <w:t xml:space="preserve">comply with </w:t>
            </w:r>
            <w:r w:rsidR="00E1070A">
              <w:t xml:space="preserve">the terms of </w:t>
            </w:r>
            <w:r>
              <w:t xml:space="preserve">any order issued by the </w:t>
            </w:r>
            <w:r w:rsidR="00394947">
              <w:t>R&amp;CC</w:t>
            </w:r>
            <w:r>
              <w:t xml:space="preserve"> or </w:t>
            </w:r>
            <w:r w:rsidR="00782A4D">
              <w:t>D&amp;AC</w:t>
            </w:r>
            <w:r w:rsidR="00E1070A">
              <w:t>, including settlement of fine and/or costs due</w:t>
            </w:r>
          </w:p>
          <w:p w14:paraId="5BB00439" w14:textId="77777777" w:rsidR="00731C2C" w:rsidRDefault="00731C2C" w:rsidP="00731C2C">
            <w:pPr>
              <w:pStyle w:val="ListParagraph"/>
            </w:pPr>
          </w:p>
          <w:p w14:paraId="5BB0043A" w14:textId="6483CC49" w:rsidR="003E1EA4" w:rsidRDefault="003E1EA4" w:rsidP="003E1EA4">
            <w:r>
              <w:t>will constitute grounds for an emergency licence restriction</w:t>
            </w:r>
            <w:r w:rsidR="009857D2">
              <w:t xml:space="preserve"> under the </w:t>
            </w:r>
            <w:r w:rsidR="00394947">
              <w:t>Regulatory Rules</w:t>
            </w:r>
            <w:r w:rsidR="009857D2">
              <w:t xml:space="preserve"> pending further consideration by </w:t>
            </w:r>
            <w:r w:rsidR="00394947">
              <w:t>R&amp;CC</w:t>
            </w:r>
            <w:r w:rsidR="009857D2">
              <w:t xml:space="preserve"> in accordance with the </w:t>
            </w:r>
            <w:r w:rsidR="00394947">
              <w:t>Regulatory Rules</w:t>
            </w:r>
            <w:r w:rsidR="009857D2">
              <w:t>.</w:t>
            </w:r>
          </w:p>
          <w:p w14:paraId="5BB0043B" w14:textId="77777777" w:rsidR="003E1EA4" w:rsidRDefault="003E1EA4" w:rsidP="003E1EA4"/>
        </w:tc>
      </w:tr>
      <w:tr w:rsidR="00731C2C" w14:paraId="5BB00444" w14:textId="77777777" w:rsidTr="00870C03">
        <w:tc>
          <w:tcPr>
            <w:tcW w:w="662" w:type="dxa"/>
          </w:tcPr>
          <w:p w14:paraId="5BB0043D" w14:textId="77777777" w:rsidR="00731C2C" w:rsidRDefault="00731C2C" w:rsidP="00EB6C2F"/>
          <w:p w14:paraId="5BB0043E" w14:textId="77777777" w:rsidR="00731C2C" w:rsidRDefault="00731C2C" w:rsidP="00EB6C2F">
            <w:r>
              <w:lastRenderedPageBreak/>
              <w:t>4.1.6</w:t>
            </w:r>
          </w:p>
          <w:p w14:paraId="5BB0043F" w14:textId="77777777" w:rsidR="00731C2C" w:rsidRDefault="00731C2C" w:rsidP="00EB6C2F"/>
          <w:p w14:paraId="5BB00440" w14:textId="77777777" w:rsidR="00731C2C" w:rsidRDefault="00731C2C" w:rsidP="00EB6C2F"/>
        </w:tc>
        <w:tc>
          <w:tcPr>
            <w:tcW w:w="8354" w:type="dxa"/>
          </w:tcPr>
          <w:p w14:paraId="5BB00441" w14:textId="77777777" w:rsidR="009857D2" w:rsidRDefault="009857D2" w:rsidP="00EB6C2F"/>
          <w:p w14:paraId="5BB00442" w14:textId="183F6A8D" w:rsidR="00731C2C" w:rsidRDefault="00731C2C" w:rsidP="00EB6C2F">
            <w:r>
              <w:lastRenderedPageBreak/>
              <w:t>Any emergency restri</w:t>
            </w:r>
            <w:r w:rsidR="009857D2">
              <w:t>ction</w:t>
            </w:r>
            <w:r w:rsidR="00632D8A">
              <w:t>, including</w:t>
            </w:r>
            <w:r w:rsidR="009857D2">
              <w:t xml:space="preserve"> under [4.1.5] may</w:t>
            </w:r>
            <w:r w:rsidR="00511418">
              <w:t xml:space="preserve"> result in a</w:t>
            </w:r>
            <w:r>
              <w:t xml:space="preserve"> targeted visit to the IP</w:t>
            </w:r>
            <w:r w:rsidR="00511418">
              <w:t xml:space="preserve"> being ordered by </w:t>
            </w:r>
            <w:r w:rsidR="00394947">
              <w:t>R&amp;CC</w:t>
            </w:r>
            <w:r>
              <w:t>, at the IP’s cost.  Regardless of any action to remedy the matter</w:t>
            </w:r>
            <w:r w:rsidR="00511418">
              <w:t>(s)</w:t>
            </w:r>
            <w:r>
              <w:t xml:space="preserve"> </w:t>
            </w:r>
            <w:r w:rsidR="00511418">
              <w:t>that gave</w:t>
            </w:r>
            <w:r>
              <w:t xml:space="preserve"> rise to the emergency restrict</w:t>
            </w:r>
            <w:r w:rsidR="00BC67B8">
              <w:t xml:space="preserve">ion, </w:t>
            </w:r>
            <w:r w:rsidR="009857D2">
              <w:t xml:space="preserve">in the event of a targeted visit being ordered by </w:t>
            </w:r>
            <w:r w:rsidR="00394947">
              <w:t>R&amp;CC</w:t>
            </w:r>
            <w:r w:rsidR="009857D2">
              <w:t xml:space="preserve">, </w:t>
            </w:r>
            <w:r w:rsidR="00BC67B8">
              <w:t xml:space="preserve">the restriction will not be lifted by </w:t>
            </w:r>
            <w:r w:rsidR="00394947">
              <w:t>R&amp;CC</w:t>
            </w:r>
            <w:r w:rsidR="00BC67B8">
              <w:t xml:space="preserve"> unless it is satisfied with the results of the targeted visit.</w:t>
            </w:r>
          </w:p>
          <w:p w14:paraId="5BB00443" w14:textId="77777777" w:rsidR="00BC67B8" w:rsidRDefault="00BC67B8" w:rsidP="00EB6C2F"/>
        </w:tc>
      </w:tr>
      <w:tr w:rsidR="009857D2" w14:paraId="5BB0044A" w14:textId="77777777" w:rsidTr="00870C03">
        <w:tc>
          <w:tcPr>
            <w:tcW w:w="662" w:type="dxa"/>
          </w:tcPr>
          <w:p w14:paraId="5BB00445" w14:textId="77777777" w:rsidR="009857D2" w:rsidRDefault="009857D2" w:rsidP="00EB6C2F"/>
          <w:p w14:paraId="5BB00446" w14:textId="77777777" w:rsidR="009857D2" w:rsidRDefault="009857D2" w:rsidP="00EB6C2F">
            <w:r>
              <w:t>4.1.7</w:t>
            </w:r>
          </w:p>
        </w:tc>
        <w:tc>
          <w:tcPr>
            <w:tcW w:w="8354" w:type="dxa"/>
          </w:tcPr>
          <w:p w14:paraId="5BB00447" w14:textId="77777777" w:rsidR="009857D2" w:rsidRDefault="009857D2" w:rsidP="00EB6C2F"/>
          <w:p w14:paraId="5BB00448" w14:textId="450778FE" w:rsidR="009857D2" w:rsidRDefault="009857D2" w:rsidP="00EB6C2F">
            <w:r>
              <w:t xml:space="preserve">The failure by an IP to </w:t>
            </w:r>
            <w:r w:rsidR="00E1070A">
              <w:t>comply with</w:t>
            </w:r>
            <w:r>
              <w:t xml:space="preserve"> a written undertaking or declaration provided to the IPA or any of its committees or Secretariat will constitute grounds for a referral to the </w:t>
            </w:r>
            <w:r w:rsidR="00394947">
              <w:t>R&amp;CC</w:t>
            </w:r>
            <w:r>
              <w:t xml:space="preserve"> under the </w:t>
            </w:r>
            <w:r w:rsidR="00394947">
              <w:t>Conduct Rules</w:t>
            </w:r>
            <w:r>
              <w:t>.</w:t>
            </w:r>
          </w:p>
          <w:p w14:paraId="5BB00449" w14:textId="77777777" w:rsidR="009857D2" w:rsidRDefault="009857D2" w:rsidP="00EB6C2F"/>
        </w:tc>
      </w:tr>
      <w:tr w:rsidR="007302DB" w14:paraId="5BB00452" w14:textId="77777777" w:rsidTr="00870C03">
        <w:tc>
          <w:tcPr>
            <w:tcW w:w="662" w:type="dxa"/>
          </w:tcPr>
          <w:p w14:paraId="5BB0044B" w14:textId="77777777" w:rsidR="007302DB" w:rsidRDefault="007302DB" w:rsidP="00EB6C2F"/>
          <w:p w14:paraId="5BB0044C" w14:textId="77777777" w:rsidR="00D342A8" w:rsidRDefault="009857D2" w:rsidP="00EB6C2F">
            <w:r>
              <w:t>4.1.8</w:t>
            </w:r>
          </w:p>
          <w:p w14:paraId="5BB0044D" w14:textId="77777777" w:rsidR="00D342A8" w:rsidRDefault="00D342A8" w:rsidP="00EB6C2F"/>
          <w:p w14:paraId="5BB0044E" w14:textId="77777777" w:rsidR="00D342A8" w:rsidRDefault="00D342A8" w:rsidP="00EB6C2F"/>
        </w:tc>
        <w:tc>
          <w:tcPr>
            <w:tcW w:w="8354" w:type="dxa"/>
          </w:tcPr>
          <w:p w14:paraId="5BB0044F" w14:textId="77777777" w:rsidR="007302DB" w:rsidRDefault="007302DB" w:rsidP="00EB6C2F"/>
          <w:p w14:paraId="5BB00450" w14:textId="4B343386" w:rsidR="00D342A8" w:rsidRDefault="00D342A8" w:rsidP="00EB6C2F">
            <w:r>
              <w:t xml:space="preserve">IP behaviour and/or communications considered by the Secretariat to be harassment or threatening violence </w:t>
            </w:r>
            <w:r w:rsidR="00870C03">
              <w:t>toward any person including IPA employees and IPA Committee/</w:t>
            </w:r>
            <w:r w:rsidR="005D13ED">
              <w:t>Board</w:t>
            </w:r>
            <w:r w:rsidR="00870C03">
              <w:t xml:space="preserve"> members</w:t>
            </w:r>
            <w:r>
              <w:t xml:space="preserve"> will be reported to the police in addition to being referred to th</w:t>
            </w:r>
            <w:r w:rsidR="00E5442F">
              <w:t xml:space="preserve">e </w:t>
            </w:r>
            <w:r w:rsidR="00394947">
              <w:t>R&amp;CC</w:t>
            </w:r>
            <w:r w:rsidR="00E5442F">
              <w:t>.</w:t>
            </w:r>
          </w:p>
          <w:p w14:paraId="5BB00451" w14:textId="77777777" w:rsidR="00D342A8" w:rsidRDefault="00D342A8" w:rsidP="00EB6C2F"/>
        </w:tc>
      </w:tr>
    </w:tbl>
    <w:p w14:paraId="5BB00453" w14:textId="77777777" w:rsidR="007302DB" w:rsidRDefault="007302DB" w:rsidP="00865C35">
      <w:pPr>
        <w:spacing w:after="0"/>
      </w:pPr>
    </w:p>
    <w:tbl>
      <w:tblPr>
        <w:tblStyle w:val="TableGrid"/>
        <w:tblW w:w="0" w:type="auto"/>
        <w:tblLook w:val="04A0" w:firstRow="1" w:lastRow="0" w:firstColumn="1" w:lastColumn="0" w:noHBand="0" w:noVBand="1"/>
      </w:tblPr>
      <w:tblGrid>
        <w:gridCol w:w="662"/>
        <w:gridCol w:w="8354"/>
      </w:tblGrid>
      <w:tr w:rsidR="002F4221" w14:paraId="5BB00456" w14:textId="77777777" w:rsidTr="002F4221">
        <w:tc>
          <w:tcPr>
            <w:tcW w:w="562" w:type="dxa"/>
          </w:tcPr>
          <w:p w14:paraId="5BB00454" w14:textId="77777777" w:rsidR="002F4221" w:rsidRPr="00DF4CA4" w:rsidRDefault="007302DB" w:rsidP="00865C35">
            <w:pPr>
              <w:rPr>
                <w:b/>
              </w:rPr>
            </w:pPr>
            <w:r>
              <w:rPr>
                <w:b/>
              </w:rPr>
              <w:t>4.2</w:t>
            </w:r>
          </w:p>
        </w:tc>
        <w:tc>
          <w:tcPr>
            <w:tcW w:w="8454" w:type="dxa"/>
          </w:tcPr>
          <w:p w14:paraId="5BB00455" w14:textId="77777777" w:rsidR="002F4221" w:rsidRPr="00DF4CA4" w:rsidRDefault="002F4221" w:rsidP="00865C35">
            <w:pPr>
              <w:rPr>
                <w:b/>
              </w:rPr>
            </w:pPr>
            <w:r w:rsidRPr="00DF4CA4">
              <w:rPr>
                <w:b/>
              </w:rPr>
              <w:t>Changes in contact information</w:t>
            </w:r>
          </w:p>
        </w:tc>
      </w:tr>
      <w:tr w:rsidR="002F4221" w14:paraId="5BB00462" w14:textId="77777777" w:rsidTr="002F4221">
        <w:tc>
          <w:tcPr>
            <w:tcW w:w="562" w:type="dxa"/>
          </w:tcPr>
          <w:p w14:paraId="5BB00457" w14:textId="77777777" w:rsidR="002F4221" w:rsidRDefault="002F4221" w:rsidP="00415DF1"/>
          <w:p w14:paraId="5BB00458" w14:textId="77777777" w:rsidR="002F4221" w:rsidRDefault="007302DB" w:rsidP="00415DF1">
            <w:r>
              <w:t>4.2</w:t>
            </w:r>
            <w:r w:rsidR="002F4221">
              <w:t>.1</w:t>
            </w:r>
          </w:p>
        </w:tc>
        <w:tc>
          <w:tcPr>
            <w:tcW w:w="8454" w:type="dxa"/>
          </w:tcPr>
          <w:p w14:paraId="5BB00459" w14:textId="77777777" w:rsidR="002F4221" w:rsidRDefault="002F4221" w:rsidP="00415DF1"/>
          <w:p w14:paraId="5BB0045A" w14:textId="77777777" w:rsidR="002F4221" w:rsidRDefault="002F4221" w:rsidP="00415DF1">
            <w:r>
              <w:t>IPs are responsible for ensuring that all contact details held by IPA are current and that IPA is informed of changes in circumstances including but not limited to:</w:t>
            </w:r>
          </w:p>
          <w:p w14:paraId="5BB0045B" w14:textId="77777777" w:rsidR="002F4221" w:rsidRDefault="002F4221" w:rsidP="00415DF1"/>
          <w:p w14:paraId="5BB0045C" w14:textId="77777777" w:rsidR="002F4221" w:rsidRDefault="002F4221" w:rsidP="0093277C">
            <w:pPr>
              <w:pStyle w:val="ListParagraph"/>
              <w:numPr>
                <w:ilvl w:val="0"/>
                <w:numId w:val="2"/>
              </w:numPr>
            </w:pPr>
            <w:r>
              <w:t>Changes in name</w:t>
            </w:r>
          </w:p>
          <w:p w14:paraId="5BB0045D" w14:textId="77777777" w:rsidR="002F4221" w:rsidRDefault="002F4221" w:rsidP="0093277C">
            <w:pPr>
              <w:pStyle w:val="ListParagraph"/>
              <w:numPr>
                <w:ilvl w:val="0"/>
                <w:numId w:val="2"/>
              </w:numPr>
            </w:pPr>
            <w:r>
              <w:t>Changes in postal address</w:t>
            </w:r>
          </w:p>
          <w:p w14:paraId="5BB0045E" w14:textId="77777777" w:rsidR="002F4221" w:rsidRDefault="002F4221" w:rsidP="0093277C">
            <w:pPr>
              <w:pStyle w:val="ListParagraph"/>
              <w:numPr>
                <w:ilvl w:val="0"/>
                <w:numId w:val="2"/>
              </w:numPr>
            </w:pPr>
            <w:r>
              <w:t>Changes in email address</w:t>
            </w:r>
          </w:p>
          <w:p w14:paraId="5BB0045F" w14:textId="77777777" w:rsidR="002F4221" w:rsidRDefault="002F4221" w:rsidP="0093277C">
            <w:pPr>
              <w:pStyle w:val="ListParagraph"/>
              <w:numPr>
                <w:ilvl w:val="0"/>
                <w:numId w:val="2"/>
              </w:numPr>
            </w:pPr>
            <w:r>
              <w:t>Changes in telephone number</w:t>
            </w:r>
          </w:p>
          <w:p w14:paraId="5BB00460" w14:textId="77777777" w:rsidR="002F4221" w:rsidRDefault="002F4221" w:rsidP="0093277C">
            <w:pPr>
              <w:pStyle w:val="ListParagraph"/>
              <w:numPr>
                <w:ilvl w:val="0"/>
                <w:numId w:val="2"/>
              </w:numPr>
            </w:pPr>
            <w:r>
              <w:t>Intra firm movements</w:t>
            </w:r>
          </w:p>
          <w:p w14:paraId="5BB00461" w14:textId="77777777" w:rsidR="002F4221" w:rsidRDefault="002F4221" w:rsidP="002F4221"/>
        </w:tc>
      </w:tr>
      <w:tr w:rsidR="002F4221" w14:paraId="5BB00468" w14:textId="77777777" w:rsidTr="002F4221">
        <w:tc>
          <w:tcPr>
            <w:tcW w:w="562" w:type="dxa"/>
          </w:tcPr>
          <w:p w14:paraId="5BB00463" w14:textId="77777777" w:rsidR="002F4221" w:rsidRDefault="002F4221" w:rsidP="00415DF1"/>
          <w:p w14:paraId="5BB00464" w14:textId="77777777" w:rsidR="002F4221" w:rsidRDefault="007302DB" w:rsidP="00415DF1">
            <w:r>
              <w:t>4.2</w:t>
            </w:r>
            <w:r w:rsidR="002F4221">
              <w:t>.2</w:t>
            </w:r>
          </w:p>
        </w:tc>
        <w:tc>
          <w:tcPr>
            <w:tcW w:w="8454" w:type="dxa"/>
          </w:tcPr>
          <w:p w14:paraId="5BB00465" w14:textId="77777777" w:rsidR="002F4221" w:rsidRDefault="002F4221" w:rsidP="002F4221"/>
          <w:p w14:paraId="5BB00466" w14:textId="77777777" w:rsidR="002F4221" w:rsidRDefault="002F4221" w:rsidP="002F4221">
            <w:r>
              <w:t>Unless by some other written arrangement between an IP and the IPA, the workplace address held by the IPA is the address for service of regulatory/investigatory/disciplinary notices and communications.  Such notices and communications issued to the address for service will be deemed received by the IP without exception and deadlines/timetables therein will not be varied because of a delay in an IP receipt caused by a failure to update the contact information held by the Secretariat.</w:t>
            </w:r>
          </w:p>
          <w:p w14:paraId="5BB00467" w14:textId="77777777" w:rsidR="002F4221" w:rsidRDefault="002F4221" w:rsidP="00415DF1"/>
        </w:tc>
      </w:tr>
      <w:tr w:rsidR="002F4221" w14:paraId="5BB0046E" w14:textId="77777777" w:rsidTr="002F4221">
        <w:tc>
          <w:tcPr>
            <w:tcW w:w="562" w:type="dxa"/>
          </w:tcPr>
          <w:p w14:paraId="5BB00469" w14:textId="77777777" w:rsidR="002F4221" w:rsidRDefault="002F4221" w:rsidP="00415DF1"/>
          <w:p w14:paraId="5BB0046A" w14:textId="77777777" w:rsidR="002F4221" w:rsidRDefault="007302DB" w:rsidP="00415DF1">
            <w:r>
              <w:t>4.2</w:t>
            </w:r>
            <w:r w:rsidR="002F4221">
              <w:t>.3</w:t>
            </w:r>
          </w:p>
        </w:tc>
        <w:tc>
          <w:tcPr>
            <w:tcW w:w="8454" w:type="dxa"/>
          </w:tcPr>
          <w:p w14:paraId="5BB0046B" w14:textId="77777777" w:rsidR="002F4221" w:rsidRDefault="002F4221" w:rsidP="002F4221"/>
          <w:p w14:paraId="5BB0046C" w14:textId="77777777" w:rsidR="002F4221" w:rsidRDefault="002F4221" w:rsidP="002F4221">
            <w:r>
              <w:t xml:space="preserve">Any </w:t>
            </w:r>
            <w:r w:rsidR="00DE5AB0">
              <w:t>increased cost suffered by the IPA, whether in time spent or expenses incurred by the Secretariat/Regulatory Committees</w:t>
            </w:r>
            <w:r>
              <w:t xml:space="preserve"> resulting from a failure to update contact details will be recovered from the IP where applicable.</w:t>
            </w:r>
          </w:p>
          <w:p w14:paraId="5BB0046D" w14:textId="77777777" w:rsidR="002F4221" w:rsidRDefault="002F4221" w:rsidP="00415DF1"/>
        </w:tc>
      </w:tr>
    </w:tbl>
    <w:p w14:paraId="5BB0046F" w14:textId="77777777" w:rsidR="00415DF1" w:rsidRDefault="00415DF1" w:rsidP="00865C35">
      <w:pPr>
        <w:spacing w:after="0"/>
      </w:pPr>
    </w:p>
    <w:tbl>
      <w:tblPr>
        <w:tblStyle w:val="TableGrid"/>
        <w:tblW w:w="0" w:type="auto"/>
        <w:tblLook w:val="04A0" w:firstRow="1" w:lastRow="0" w:firstColumn="1" w:lastColumn="0" w:noHBand="0" w:noVBand="1"/>
      </w:tblPr>
      <w:tblGrid>
        <w:gridCol w:w="662"/>
        <w:gridCol w:w="8354"/>
      </w:tblGrid>
      <w:tr w:rsidR="00511418" w:rsidRPr="00511418" w14:paraId="5BB00472" w14:textId="77777777" w:rsidTr="00511418">
        <w:tc>
          <w:tcPr>
            <w:tcW w:w="562" w:type="dxa"/>
          </w:tcPr>
          <w:p w14:paraId="5BB00470" w14:textId="77777777" w:rsidR="00511418" w:rsidRPr="00511418" w:rsidRDefault="00511418" w:rsidP="00865C35">
            <w:pPr>
              <w:rPr>
                <w:b/>
              </w:rPr>
            </w:pPr>
            <w:r w:rsidRPr="00511418">
              <w:rPr>
                <w:b/>
              </w:rPr>
              <w:t>4.3</w:t>
            </w:r>
          </w:p>
        </w:tc>
        <w:tc>
          <w:tcPr>
            <w:tcW w:w="8454" w:type="dxa"/>
          </w:tcPr>
          <w:p w14:paraId="5BB00471" w14:textId="77777777" w:rsidR="00511418" w:rsidRPr="00511418" w:rsidRDefault="00511418" w:rsidP="00865C35">
            <w:pPr>
              <w:rPr>
                <w:b/>
              </w:rPr>
            </w:pPr>
            <w:r w:rsidRPr="00511418">
              <w:rPr>
                <w:b/>
              </w:rPr>
              <w:t>Monthly Bordereau Submission</w:t>
            </w:r>
          </w:p>
        </w:tc>
      </w:tr>
      <w:tr w:rsidR="00511418" w14:paraId="5BB00479" w14:textId="77777777" w:rsidTr="00511418">
        <w:tc>
          <w:tcPr>
            <w:tcW w:w="562" w:type="dxa"/>
          </w:tcPr>
          <w:p w14:paraId="5BB00473" w14:textId="77777777" w:rsidR="00511418" w:rsidRDefault="00511418" w:rsidP="00865C35"/>
          <w:p w14:paraId="5BB00474" w14:textId="77777777" w:rsidR="00511418" w:rsidRDefault="00511418" w:rsidP="00865C35">
            <w:r>
              <w:t>4.3.1</w:t>
            </w:r>
          </w:p>
          <w:p w14:paraId="5BB00475" w14:textId="77777777" w:rsidR="00511418" w:rsidRDefault="00511418" w:rsidP="00865C35"/>
        </w:tc>
        <w:tc>
          <w:tcPr>
            <w:tcW w:w="8454" w:type="dxa"/>
          </w:tcPr>
          <w:p w14:paraId="5BB00476" w14:textId="77777777" w:rsidR="00511418" w:rsidRDefault="00511418" w:rsidP="00865C35"/>
          <w:p w14:paraId="5BB00477" w14:textId="77777777" w:rsidR="00511418" w:rsidRDefault="00511418" w:rsidP="00865C35">
            <w:r>
              <w:t xml:space="preserve">An IP must submit to the IPA Secretariat, a copy of </w:t>
            </w:r>
            <w:r w:rsidR="00B949CD">
              <w:t>all</w:t>
            </w:r>
            <w:r>
              <w:t xml:space="preserve"> submission</w:t>
            </w:r>
            <w:r w:rsidR="00B949CD">
              <w:t>s</w:t>
            </w:r>
            <w:r>
              <w:t xml:space="preserve"> to their bond provider confirming new appointments accepted, appointments where the IP has received their release and changes to pre-existing bond cover.</w:t>
            </w:r>
          </w:p>
          <w:p w14:paraId="5BB00478" w14:textId="77777777" w:rsidR="00511418" w:rsidRDefault="00511418" w:rsidP="00865C35"/>
        </w:tc>
      </w:tr>
      <w:tr w:rsidR="00511418" w14:paraId="5BB0047F" w14:textId="77777777" w:rsidTr="00511418">
        <w:tc>
          <w:tcPr>
            <w:tcW w:w="562" w:type="dxa"/>
          </w:tcPr>
          <w:p w14:paraId="5BB0047A" w14:textId="77777777" w:rsidR="00511418" w:rsidRDefault="00511418" w:rsidP="00865C35"/>
          <w:p w14:paraId="5BB0047B" w14:textId="77777777" w:rsidR="00511418" w:rsidRDefault="00511418" w:rsidP="00865C35">
            <w:r>
              <w:t>4.3.2</w:t>
            </w:r>
          </w:p>
        </w:tc>
        <w:tc>
          <w:tcPr>
            <w:tcW w:w="8454" w:type="dxa"/>
          </w:tcPr>
          <w:p w14:paraId="5BB0047C" w14:textId="77777777" w:rsidR="00511418" w:rsidRDefault="00511418" w:rsidP="00865C35"/>
          <w:p w14:paraId="5BB0047D" w14:textId="77777777" w:rsidR="00511418" w:rsidRDefault="00511418" w:rsidP="00865C35">
            <w:r>
              <w:lastRenderedPageBreak/>
              <w:t xml:space="preserve">The information at </w:t>
            </w:r>
            <w:r w:rsidR="002A6761">
              <w:t>[</w:t>
            </w:r>
            <w:r>
              <w:t>4.3.1</w:t>
            </w:r>
            <w:r w:rsidR="002A6761">
              <w:t>]</w:t>
            </w:r>
            <w:r>
              <w:t xml:space="preserve"> must be received by the IPA Secretariat by close of business of the 14</w:t>
            </w:r>
            <w:r w:rsidRPr="00511418">
              <w:rPr>
                <w:vertAlign w:val="superscript"/>
              </w:rPr>
              <w:t>th</w:t>
            </w:r>
            <w:r>
              <w:t xml:space="preserve"> calendar day following the end of the month to which the submission relates.</w:t>
            </w:r>
          </w:p>
          <w:p w14:paraId="5BB0047E" w14:textId="77777777" w:rsidR="00511418" w:rsidRDefault="00511418" w:rsidP="00865C35"/>
        </w:tc>
      </w:tr>
      <w:tr w:rsidR="00511418" w14:paraId="5BB00485" w14:textId="77777777" w:rsidTr="00511418">
        <w:tc>
          <w:tcPr>
            <w:tcW w:w="562" w:type="dxa"/>
          </w:tcPr>
          <w:p w14:paraId="5BB00480" w14:textId="77777777" w:rsidR="002A6761" w:rsidRDefault="002A6761" w:rsidP="00865C35"/>
          <w:p w14:paraId="5BB00481" w14:textId="77777777" w:rsidR="00511418" w:rsidRDefault="002A6761" w:rsidP="00865C35">
            <w:r>
              <w:t>4.3.3</w:t>
            </w:r>
          </w:p>
        </w:tc>
        <w:tc>
          <w:tcPr>
            <w:tcW w:w="8454" w:type="dxa"/>
          </w:tcPr>
          <w:p w14:paraId="5BB00482" w14:textId="77777777" w:rsidR="00511418" w:rsidRDefault="00511418" w:rsidP="00865C35"/>
          <w:p w14:paraId="5BB00483" w14:textId="7CCED852" w:rsidR="002A6761" w:rsidRDefault="002A6761" w:rsidP="00865C35">
            <w:r>
              <w:t xml:space="preserve">Any failure to provide the information at [4.3.1] by the deadline at [4.3.2] will be treated as a failure under 4.1.3, constituting grounds for a referral to the </w:t>
            </w:r>
            <w:r w:rsidR="00394947">
              <w:t>R&amp;CC</w:t>
            </w:r>
            <w:r>
              <w:t>.</w:t>
            </w:r>
          </w:p>
          <w:p w14:paraId="5BB00484" w14:textId="77777777" w:rsidR="002A6761" w:rsidRDefault="002A6761" w:rsidP="00865C35"/>
        </w:tc>
      </w:tr>
      <w:tr w:rsidR="002A6761" w14:paraId="5BB0048B" w14:textId="77777777" w:rsidTr="00511418">
        <w:tc>
          <w:tcPr>
            <w:tcW w:w="562" w:type="dxa"/>
          </w:tcPr>
          <w:p w14:paraId="5BB00486" w14:textId="77777777" w:rsidR="002A6761" w:rsidRDefault="002A6761" w:rsidP="00865C35"/>
          <w:p w14:paraId="5BB00487" w14:textId="77777777" w:rsidR="002A6761" w:rsidRDefault="002A6761" w:rsidP="00865C35">
            <w:r>
              <w:t>4.3.4</w:t>
            </w:r>
          </w:p>
        </w:tc>
        <w:tc>
          <w:tcPr>
            <w:tcW w:w="8454" w:type="dxa"/>
          </w:tcPr>
          <w:p w14:paraId="5BB00488" w14:textId="77777777" w:rsidR="002A6761" w:rsidRDefault="002A6761" w:rsidP="00865C35"/>
          <w:p w14:paraId="5BB00489" w14:textId="77777777" w:rsidR="002A6761" w:rsidRDefault="002A6761" w:rsidP="00865C35">
            <w:r>
              <w:t>An ongoing failure to provide the information at [4.3.1] will be treated in accordance with [4.1.5].</w:t>
            </w:r>
          </w:p>
          <w:p w14:paraId="5BB0048A" w14:textId="77777777" w:rsidR="002A6761" w:rsidRDefault="002A6761" w:rsidP="00865C35"/>
        </w:tc>
      </w:tr>
    </w:tbl>
    <w:p w14:paraId="5BB0048C" w14:textId="77777777" w:rsidR="00415DF1" w:rsidRDefault="00415DF1" w:rsidP="00865C35">
      <w:pPr>
        <w:spacing w:after="0"/>
      </w:pPr>
    </w:p>
    <w:tbl>
      <w:tblPr>
        <w:tblStyle w:val="TableGrid"/>
        <w:tblW w:w="0" w:type="auto"/>
        <w:tblLook w:val="04A0" w:firstRow="1" w:lastRow="0" w:firstColumn="1" w:lastColumn="0" w:noHBand="0" w:noVBand="1"/>
      </w:tblPr>
      <w:tblGrid>
        <w:gridCol w:w="704"/>
        <w:gridCol w:w="8312"/>
      </w:tblGrid>
      <w:tr w:rsidR="009857D2" w:rsidRPr="00163401" w14:paraId="5BB0048F" w14:textId="77777777" w:rsidTr="00163401">
        <w:tc>
          <w:tcPr>
            <w:tcW w:w="704" w:type="dxa"/>
          </w:tcPr>
          <w:p w14:paraId="5BB0048D" w14:textId="77777777" w:rsidR="009857D2" w:rsidRPr="00163401" w:rsidRDefault="00163401" w:rsidP="00865C35">
            <w:pPr>
              <w:rPr>
                <w:b/>
              </w:rPr>
            </w:pPr>
            <w:r w:rsidRPr="00163401">
              <w:rPr>
                <w:b/>
              </w:rPr>
              <w:t>4.4</w:t>
            </w:r>
          </w:p>
        </w:tc>
        <w:tc>
          <w:tcPr>
            <w:tcW w:w="8312" w:type="dxa"/>
          </w:tcPr>
          <w:p w14:paraId="5BB0048E" w14:textId="77777777" w:rsidR="009857D2" w:rsidRPr="00163401" w:rsidRDefault="00163401" w:rsidP="00865C35">
            <w:pPr>
              <w:rPr>
                <w:b/>
              </w:rPr>
            </w:pPr>
            <w:r w:rsidRPr="00163401">
              <w:rPr>
                <w:b/>
              </w:rPr>
              <w:t>Continuing Professional Education</w:t>
            </w:r>
          </w:p>
        </w:tc>
      </w:tr>
      <w:tr w:rsidR="009857D2" w14:paraId="5BB00495" w14:textId="77777777" w:rsidTr="00163401">
        <w:tc>
          <w:tcPr>
            <w:tcW w:w="704" w:type="dxa"/>
          </w:tcPr>
          <w:p w14:paraId="5BB00490" w14:textId="77777777" w:rsidR="009857D2" w:rsidRDefault="009857D2" w:rsidP="00865C35"/>
          <w:p w14:paraId="5BB00491" w14:textId="77777777" w:rsidR="00163401" w:rsidRDefault="00163401" w:rsidP="00865C35">
            <w:r>
              <w:t>4.4.1</w:t>
            </w:r>
          </w:p>
        </w:tc>
        <w:tc>
          <w:tcPr>
            <w:tcW w:w="8312" w:type="dxa"/>
          </w:tcPr>
          <w:p w14:paraId="5BB00492" w14:textId="77777777" w:rsidR="009857D2" w:rsidRDefault="009857D2" w:rsidP="00865C35"/>
          <w:p w14:paraId="5BB00493" w14:textId="77777777" w:rsidR="00163401" w:rsidRDefault="00163401" w:rsidP="00865C35">
            <w:r>
              <w:t>As part of their authorisation renewal application, IPs are required to declare that they have satisfied the minimum CPE requirement as set out in the CPE Guidance.</w:t>
            </w:r>
          </w:p>
          <w:p w14:paraId="5BB00494" w14:textId="77777777" w:rsidR="00163401" w:rsidRDefault="00163401" w:rsidP="00865C35"/>
        </w:tc>
      </w:tr>
      <w:tr w:rsidR="009857D2" w14:paraId="5BB0049B" w14:textId="77777777" w:rsidTr="00163401">
        <w:tc>
          <w:tcPr>
            <w:tcW w:w="704" w:type="dxa"/>
          </w:tcPr>
          <w:p w14:paraId="5BB00496" w14:textId="77777777" w:rsidR="009857D2" w:rsidRDefault="009857D2" w:rsidP="00865C35"/>
          <w:p w14:paraId="5BB00497" w14:textId="77777777" w:rsidR="00163401" w:rsidRDefault="00163401" w:rsidP="00865C35">
            <w:r>
              <w:t>4.4.2</w:t>
            </w:r>
          </w:p>
        </w:tc>
        <w:tc>
          <w:tcPr>
            <w:tcW w:w="8312" w:type="dxa"/>
          </w:tcPr>
          <w:p w14:paraId="5BB00498" w14:textId="77777777" w:rsidR="009857D2" w:rsidRDefault="009857D2" w:rsidP="00865C35"/>
          <w:p w14:paraId="5BB00499" w14:textId="77777777" w:rsidR="00163401" w:rsidRDefault="00852A75" w:rsidP="00865C35">
            <w:r>
              <w:t>Any false declaration with reference to [4.4.1] will be treated in accordance with [4.1.7].</w:t>
            </w:r>
          </w:p>
          <w:p w14:paraId="5BB0049A" w14:textId="77777777" w:rsidR="00852A75" w:rsidRDefault="00852A75" w:rsidP="00865C35"/>
        </w:tc>
      </w:tr>
    </w:tbl>
    <w:p w14:paraId="5BB0049C" w14:textId="77777777" w:rsidR="00AC5E4F" w:rsidRDefault="00AC5E4F" w:rsidP="00865C35">
      <w:pPr>
        <w:spacing w:after="0"/>
      </w:pPr>
    </w:p>
    <w:tbl>
      <w:tblPr>
        <w:tblStyle w:val="TableGrid"/>
        <w:tblW w:w="0" w:type="auto"/>
        <w:tblLook w:val="04A0" w:firstRow="1" w:lastRow="0" w:firstColumn="1" w:lastColumn="0" w:noHBand="0" w:noVBand="1"/>
      </w:tblPr>
      <w:tblGrid>
        <w:gridCol w:w="704"/>
        <w:gridCol w:w="8312"/>
      </w:tblGrid>
      <w:tr w:rsidR="00852A75" w:rsidRPr="00E55F7C" w14:paraId="5BB0049F" w14:textId="77777777" w:rsidTr="00852A75">
        <w:tc>
          <w:tcPr>
            <w:tcW w:w="704" w:type="dxa"/>
          </w:tcPr>
          <w:p w14:paraId="5BB0049D" w14:textId="77777777" w:rsidR="00852A75" w:rsidRPr="00E55F7C" w:rsidRDefault="00852A75" w:rsidP="00865C35">
            <w:pPr>
              <w:rPr>
                <w:b/>
              </w:rPr>
            </w:pPr>
            <w:r w:rsidRPr="00E55F7C">
              <w:rPr>
                <w:b/>
              </w:rPr>
              <w:t>4.5</w:t>
            </w:r>
          </w:p>
        </w:tc>
        <w:tc>
          <w:tcPr>
            <w:tcW w:w="8312" w:type="dxa"/>
          </w:tcPr>
          <w:p w14:paraId="5BB0049E" w14:textId="77777777" w:rsidR="00852A75" w:rsidRPr="00E55F7C" w:rsidRDefault="00852A75" w:rsidP="00865C35">
            <w:pPr>
              <w:rPr>
                <w:b/>
              </w:rPr>
            </w:pPr>
            <w:r w:rsidRPr="00E55F7C">
              <w:rPr>
                <w:b/>
              </w:rPr>
              <w:t>GDPR</w:t>
            </w:r>
          </w:p>
        </w:tc>
      </w:tr>
      <w:tr w:rsidR="00852A75" w14:paraId="5BB004A5" w14:textId="77777777" w:rsidTr="00852A75">
        <w:tc>
          <w:tcPr>
            <w:tcW w:w="704" w:type="dxa"/>
          </w:tcPr>
          <w:p w14:paraId="5BB004A0" w14:textId="77777777" w:rsidR="00852A75" w:rsidRDefault="00852A75" w:rsidP="00865C35"/>
          <w:p w14:paraId="5BB004A1" w14:textId="77777777" w:rsidR="00852A75" w:rsidRDefault="00852A75" w:rsidP="00865C35">
            <w:r>
              <w:t>4.5.1</w:t>
            </w:r>
          </w:p>
        </w:tc>
        <w:tc>
          <w:tcPr>
            <w:tcW w:w="8312" w:type="dxa"/>
          </w:tcPr>
          <w:p w14:paraId="5BB004A2" w14:textId="77777777" w:rsidR="00852A75" w:rsidRDefault="00852A75" w:rsidP="00865C35"/>
          <w:p w14:paraId="5BB004A3" w14:textId="77777777" w:rsidR="00852A75" w:rsidRDefault="00852A75" w:rsidP="00865C35">
            <w:r>
              <w:t>As a regulator, the IPA will hold personal data about its members, including IPs</w:t>
            </w:r>
            <w:r w:rsidR="00E55F7C">
              <w:t>,</w:t>
            </w:r>
            <w:r>
              <w:t xml:space="preserve"> and is subject to the requirement to provide access to that dat</w:t>
            </w:r>
            <w:r w:rsidR="00E44D8B">
              <w:t>a upon request under the Data Protection Act 2018</w:t>
            </w:r>
            <w:r>
              <w:t>.</w:t>
            </w:r>
          </w:p>
          <w:p w14:paraId="5BB004A4" w14:textId="77777777" w:rsidR="00852A75" w:rsidRDefault="00852A75" w:rsidP="00865C35"/>
        </w:tc>
      </w:tr>
      <w:tr w:rsidR="00852A75" w14:paraId="5BB004AB" w14:textId="77777777" w:rsidTr="00852A75">
        <w:tc>
          <w:tcPr>
            <w:tcW w:w="704" w:type="dxa"/>
          </w:tcPr>
          <w:p w14:paraId="5BB004A6" w14:textId="77777777" w:rsidR="00852A75" w:rsidRDefault="00852A75" w:rsidP="00865C35"/>
          <w:p w14:paraId="5BB004A7" w14:textId="77777777" w:rsidR="00852A75" w:rsidRDefault="00852A75" w:rsidP="00865C35">
            <w:r>
              <w:t>4.5.2</w:t>
            </w:r>
          </w:p>
        </w:tc>
        <w:tc>
          <w:tcPr>
            <w:tcW w:w="8312" w:type="dxa"/>
          </w:tcPr>
          <w:p w14:paraId="5BB004A8" w14:textId="77777777" w:rsidR="00852A75" w:rsidRDefault="00852A75" w:rsidP="00865C35"/>
          <w:p w14:paraId="5BB004A9" w14:textId="77777777" w:rsidR="00852A75" w:rsidRDefault="00852A75" w:rsidP="00865C35">
            <w:r>
              <w:t>The requi</w:t>
            </w:r>
            <w:r w:rsidR="00113BEA">
              <w:t>rement at [4.5.1] is subject to paragraph 45(4) of the Data Protection Act 2018</w:t>
            </w:r>
            <w:r>
              <w:t>, which provi</w:t>
            </w:r>
            <w:r w:rsidR="00113BEA">
              <w:t>des an exemption to do so in order to avoid obstructing an investigation</w:t>
            </w:r>
            <w:r>
              <w:t>.</w:t>
            </w:r>
          </w:p>
          <w:p w14:paraId="5BB004AA" w14:textId="77777777" w:rsidR="00852A75" w:rsidRDefault="00852A75" w:rsidP="00865C35"/>
        </w:tc>
      </w:tr>
      <w:tr w:rsidR="00852A75" w14:paraId="5BB004B5" w14:textId="77777777" w:rsidTr="00852A75">
        <w:tc>
          <w:tcPr>
            <w:tcW w:w="704" w:type="dxa"/>
          </w:tcPr>
          <w:p w14:paraId="5BB004AC" w14:textId="77777777" w:rsidR="00852A75" w:rsidRDefault="00852A75" w:rsidP="00865C35"/>
          <w:p w14:paraId="5BB004AD" w14:textId="77777777" w:rsidR="00852A75" w:rsidRDefault="00852A75" w:rsidP="00865C35">
            <w:r>
              <w:t>4.5.3</w:t>
            </w:r>
          </w:p>
        </w:tc>
        <w:tc>
          <w:tcPr>
            <w:tcW w:w="8312" w:type="dxa"/>
          </w:tcPr>
          <w:p w14:paraId="5BB004AE" w14:textId="77777777" w:rsidR="00852A75" w:rsidRDefault="00852A75" w:rsidP="00865C35"/>
          <w:p w14:paraId="5BB004AF" w14:textId="77777777" w:rsidR="00852A75" w:rsidRDefault="00852A75" w:rsidP="00865C35">
            <w:r>
              <w:t>The exemption at [4.5.2] will be relied upon where necessary in relation to a request from an IP under [4.5.1], including but not limited to situations where there is:</w:t>
            </w:r>
          </w:p>
          <w:p w14:paraId="5BB004B0" w14:textId="77777777" w:rsidR="00852A75" w:rsidRDefault="00852A75" w:rsidP="00865C35"/>
          <w:p w14:paraId="5BB004B1" w14:textId="77777777" w:rsidR="00852A75" w:rsidRDefault="00852A75" w:rsidP="00852A75">
            <w:pPr>
              <w:pStyle w:val="ListParagraph"/>
              <w:numPr>
                <w:ilvl w:val="0"/>
                <w:numId w:val="5"/>
              </w:numPr>
            </w:pPr>
            <w:r>
              <w:t>any open complaint file in relation to that IP; or</w:t>
            </w:r>
          </w:p>
          <w:p w14:paraId="5BB004B2" w14:textId="705CDB83" w:rsidR="00852A75" w:rsidRDefault="00852A75" w:rsidP="00852A75">
            <w:pPr>
              <w:pStyle w:val="ListParagraph"/>
              <w:numPr>
                <w:ilvl w:val="0"/>
                <w:numId w:val="5"/>
              </w:numPr>
            </w:pPr>
            <w:r>
              <w:t xml:space="preserve">any ongoing regulatory matter being considered by </w:t>
            </w:r>
            <w:r w:rsidR="00394947">
              <w:t>R&amp;CC</w:t>
            </w:r>
            <w:r>
              <w:t xml:space="preserve"> in relation to that IP</w:t>
            </w:r>
            <w:r w:rsidR="001D3FDF">
              <w:t>.</w:t>
            </w:r>
          </w:p>
          <w:p w14:paraId="5BB004B4" w14:textId="77777777" w:rsidR="00852A75" w:rsidRDefault="00852A75" w:rsidP="00865C35"/>
        </w:tc>
      </w:tr>
    </w:tbl>
    <w:p w14:paraId="5BB004B6" w14:textId="77777777" w:rsidR="00AC5E4F" w:rsidRDefault="00AC5E4F" w:rsidP="00865C35">
      <w:pPr>
        <w:spacing w:after="0"/>
      </w:pPr>
    </w:p>
    <w:p w14:paraId="5BB004B7" w14:textId="77777777" w:rsidR="00865C35" w:rsidRDefault="00865C35">
      <w:r>
        <w:br w:type="page"/>
      </w:r>
    </w:p>
    <w:p w14:paraId="5BB004B8" w14:textId="77777777" w:rsidR="00865C35" w:rsidRPr="00CC25A9" w:rsidRDefault="002F4221" w:rsidP="00865C35">
      <w:pPr>
        <w:spacing w:after="0"/>
        <w:rPr>
          <w:rFonts w:ascii="Arial" w:hAnsi="Arial" w:cs="Arial"/>
          <w:color w:val="0070C0"/>
          <w:sz w:val="32"/>
          <w:szCs w:val="32"/>
        </w:rPr>
      </w:pPr>
      <w:r>
        <w:rPr>
          <w:rFonts w:ascii="Arial" w:hAnsi="Arial" w:cs="Arial"/>
          <w:color w:val="0070C0"/>
          <w:sz w:val="32"/>
          <w:szCs w:val="32"/>
        </w:rPr>
        <w:lastRenderedPageBreak/>
        <w:t xml:space="preserve">5. </w:t>
      </w:r>
      <w:r w:rsidR="00865C35" w:rsidRPr="00CC25A9">
        <w:rPr>
          <w:rFonts w:ascii="Arial" w:hAnsi="Arial" w:cs="Arial"/>
          <w:color w:val="0070C0"/>
          <w:sz w:val="32"/>
          <w:szCs w:val="32"/>
        </w:rPr>
        <w:t>Insolvency Practitioner Monitoring</w:t>
      </w:r>
    </w:p>
    <w:p w14:paraId="5BB004B9" w14:textId="77777777" w:rsidR="00865C35" w:rsidRDefault="00865C35" w:rsidP="00865C35">
      <w:pPr>
        <w:spacing w:after="0"/>
      </w:pPr>
    </w:p>
    <w:p w14:paraId="5BB004BA" w14:textId="77777777" w:rsidR="00E55F7C" w:rsidRDefault="00E55F7C" w:rsidP="00865C35">
      <w:pPr>
        <w:spacing w:after="0"/>
      </w:pPr>
    </w:p>
    <w:tbl>
      <w:tblPr>
        <w:tblStyle w:val="TableGrid"/>
        <w:tblW w:w="0" w:type="auto"/>
        <w:tblLook w:val="04A0" w:firstRow="1" w:lastRow="0" w:firstColumn="1" w:lastColumn="0" w:noHBand="0" w:noVBand="1"/>
      </w:tblPr>
      <w:tblGrid>
        <w:gridCol w:w="704"/>
        <w:gridCol w:w="8312"/>
      </w:tblGrid>
      <w:tr w:rsidR="00E55F7C" w:rsidRPr="00E55F7C" w14:paraId="5BB004BD" w14:textId="77777777" w:rsidTr="00E55F7C">
        <w:tc>
          <w:tcPr>
            <w:tcW w:w="704" w:type="dxa"/>
          </w:tcPr>
          <w:p w14:paraId="5BB004BB" w14:textId="77777777" w:rsidR="00E55F7C" w:rsidRPr="00E55F7C" w:rsidRDefault="00E55F7C" w:rsidP="00865C35">
            <w:pPr>
              <w:rPr>
                <w:b/>
              </w:rPr>
            </w:pPr>
            <w:r w:rsidRPr="00E55F7C">
              <w:rPr>
                <w:b/>
              </w:rPr>
              <w:t>5.1</w:t>
            </w:r>
          </w:p>
        </w:tc>
        <w:tc>
          <w:tcPr>
            <w:tcW w:w="8312" w:type="dxa"/>
          </w:tcPr>
          <w:p w14:paraId="5BB004BC" w14:textId="77777777" w:rsidR="00E55F7C" w:rsidRPr="00E55F7C" w:rsidRDefault="00E55F7C" w:rsidP="00865C35">
            <w:pPr>
              <w:rPr>
                <w:b/>
              </w:rPr>
            </w:pPr>
            <w:r w:rsidRPr="00E55F7C">
              <w:rPr>
                <w:b/>
              </w:rPr>
              <w:t>Monitoring Inspection Visits</w:t>
            </w:r>
          </w:p>
        </w:tc>
      </w:tr>
      <w:tr w:rsidR="00E55F7C" w14:paraId="5BB004C3" w14:textId="77777777" w:rsidTr="00E55F7C">
        <w:tc>
          <w:tcPr>
            <w:tcW w:w="704" w:type="dxa"/>
          </w:tcPr>
          <w:p w14:paraId="5BB004BE" w14:textId="77777777" w:rsidR="00E55F7C" w:rsidRDefault="00E55F7C" w:rsidP="00865C35"/>
          <w:p w14:paraId="5BB004BF" w14:textId="77777777" w:rsidR="00E55F7C" w:rsidRDefault="00E55F7C" w:rsidP="00865C35">
            <w:r>
              <w:t>5.1.2</w:t>
            </w:r>
          </w:p>
        </w:tc>
        <w:tc>
          <w:tcPr>
            <w:tcW w:w="8312" w:type="dxa"/>
          </w:tcPr>
          <w:p w14:paraId="5BB004C0" w14:textId="77777777" w:rsidR="00E55F7C" w:rsidRDefault="00E55F7C" w:rsidP="00865C35"/>
          <w:p w14:paraId="5BB004C1" w14:textId="7649B288" w:rsidR="00E55F7C" w:rsidRDefault="00BF569C" w:rsidP="00865C35">
            <w:r>
              <w:t xml:space="preserve">IPs will be subject to periodic inspection visits by IPA personnel at the IPs’ premises either on a routine basis as part of a normal monitoring cycle or on an extraordinary basis, where </w:t>
            </w:r>
            <w:r w:rsidR="00394947">
              <w:t>R&amp;CC</w:t>
            </w:r>
            <w:r>
              <w:t xml:space="preserve"> has ordered a targeted visit.</w:t>
            </w:r>
          </w:p>
          <w:p w14:paraId="5BB004C2" w14:textId="77777777" w:rsidR="00BF569C" w:rsidRDefault="00BF569C" w:rsidP="00865C35"/>
        </w:tc>
      </w:tr>
      <w:tr w:rsidR="00E55F7C" w14:paraId="5BB004C9" w14:textId="77777777" w:rsidTr="00E55F7C">
        <w:tc>
          <w:tcPr>
            <w:tcW w:w="704" w:type="dxa"/>
          </w:tcPr>
          <w:p w14:paraId="5BB004C4" w14:textId="77777777" w:rsidR="00E55F7C" w:rsidRDefault="00E55F7C" w:rsidP="00865C35"/>
          <w:p w14:paraId="5BB004C5" w14:textId="77777777" w:rsidR="00BF569C" w:rsidRDefault="00BF569C" w:rsidP="00865C35">
            <w:r>
              <w:t>5.1.3</w:t>
            </w:r>
          </w:p>
        </w:tc>
        <w:tc>
          <w:tcPr>
            <w:tcW w:w="8312" w:type="dxa"/>
          </w:tcPr>
          <w:p w14:paraId="5BB004C6" w14:textId="77777777" w:rsidR="00E55F7C" w:rsidRDefault="00E55F7C" w:rsidP="00865C35"/>
          <w:p w14:paraId="5BB004C7" w14:textId="77777777" w:rsidR="00BF569C" w:rsidRDefault="00BF569C" w:rsidP="00865C35">
            <w:r>
              <w:t>Failure to respond to a request for information required by the Secretariat prior to any visit at [5.1.2] will be treated in accordance with [4.1.3].</w:t>
            </w:r>
          </w:p>
          <w:p w14:paraId="5BB004C8" w14:textId="77777777" w:rsidR="00BF569C" w:rsidRDefault="00BF569C" w:rsidP="00865C35"/>
        </w:tc>
      </w:tr>
      <w:tr w:rsidR="00BF569C" w14:paraId="5BB004D7" w14:textId="77777777" w:rsidTr="00E55F7C">
        <w:tc>
          <w:tcPr>
            <w:tcW w:w="704" w:type="dxa"/>
          </w:tcPr>
          <w:p w14:paraId="5BB004CA" w14:textId="77777777" w:rsidR="00BF569C" w:rsidRDefault="00BF569C" w:rsidP="00865C35"/>
          <w:p w14:paraId="5BB004CB" w14:textId="77777777" w:rsidR="00BF569C" w:rsidRDefault="00BF569C" w:rsidP="00865C35">
            <w:r>
              <w:t>5.1.4</w:t>
            </w:r>
          </w:p>
          <w:p w14:paraId="5BB004CC" w14:textId="77777777" w:rsidR="00BF569C" w:rsidRDefault="00BF569C" w:rsidP="00865C35"/>
          <w:p w14:paraId="5BB004CD" w14:textId="77777777" w:rsidR="00BF569C" w:rsidRDefault="00BF569C" w:rsidP="00865C35"/>
        </w:tc>
        <w:tc>
          <w:tcPr>
            <w:tcW w:w="8312" w:type="dxa"/>
          </w:tcPr>
          <w:p w14:paraId="5BB004CE" w14:textId="77777777" w:rsidR="00BF569C" w:rsidRDefault="00BF569C" w:rsidP="00865C35"/>
          <w:p w14:paraId="5BB004CF" w14:textId="77777777" w:rsidR="00BF569C" w:rsidRDefault="007C20F3" w:rsidP="00865C35">
            <w:r>
              <w:t>A</w:t>
            </w:r>
            <w:r w:rsidR="00BF569C">
              <w:t xml:space="preserve"> failure to</w:t>
            </w:r>
            <w:r>
              <w:t xml:space="preserve"> submit to or cooperate with the </w:t>
            </w:r>
            <w:r w:rsidR="00BF569C">
              <w:t>inspection visit</w:t>
            </w:r>
            <w:r>
              <w:t xml:space="preserve"> process, including but not limited to:</w:t>
            </w:r>
          </w:p>
          <w:p w14:paraId="5BB004D0" w14:textId="77777777" w:rsidR="007C20F3" w:rsidRDefault="007C20F3" w:rsidP="00865C35"/>
          <w:p w14:paraId="5BB004D1" w14:textId="77777777" w:rsidR="007C20F3" w:rsidRDefault="007C20F3" w:rsidP="007C20F3">
            <w:pPr>
              <w:pStyle w:val="ListParagraph"/>
              <w:numPr>
                <w:ilvl w:val="0"/>
                <w:numId w:val="6"/>
              </w:numPr>
            </w:pPr>
            <w:r>
              <w:t>An ongoing or repeated failure to provide information requested by the Secretariat prior to any visit; or</w:t>
            </w:r>
          </w:p>
          <w:p w14:paraId="5BB004D2" w14:textId="77777777" w:rsidR="007C20F3" w:rsidRDefault="007C20F3" w:rsidP="007C20F3">
            <w:pPr>
              <w:pStyle w:val="ListParagraph"/>
              <w:numPr>
                <w:ilvl w:val="0"/>
                <w:numId w:val="6"/>
              </w:numPr>
            </w:pPr>
            <w:r>
              <w:t>A refusal to allow access to an IP’s premises or files; or</w:t>
            </w:r>
          </w:p>
          <w:p w14:paraId="5BB004D3" w14:textId="77777777" w:rsidR="007C20F3" w:rsidRDefault="007C20F3" w:rsidP="007C20F3">
            <w:pPr>
              <w:pStyle w:val="ListParagraph"/>
              <w:numPr>
                <w:ilvl w:val="0"/>
                <w:numId w:val="6"/>
              </w:numPr>
            </w:pPr>
            <w:r>
              <w:t>Attempts to frustrate or delay the process</w:t>
            </w:r>
          </w:p>
          <w:p w14:paraId="5BB004D4" w14:textId="77777777" w:rsidR="007C20F3" w:rsidRDefault="007C20F3" w:rsidP="007C20F3"/>
          <w:p w14:paraId="5BB004D5" w14:textId="4C45736C" w:rsidR="007C20F3" w:rsidRDefault="007C20F3" w:rsidP="007C20F3">
            <w:r>
              <w:t xml:space="preserve">will constitute grounds for an emergency licence restriction under the </w:t>
            </w:r>
            <w:r w:rsidR="00394947">
              <w:t>Regulatory Rules</w:t>
            </w:r>
            <w:r>
              <w:t xml:space="preserve"> pending further consideration by </w:t>
            </w:r>
            <w:r w:rsidR="00394947">
              <w:t>R&amp;CC</w:t>
            </w:r>
            <w:r>
              <w:t xml:space="preserve"> in accordance with the </w:t>
            </w:r>
            <w:r w:rsidR="00394947">
              <w:t>Regulatory Rules</w:t>
            </w:r>
            <w:r>
              <w:t>.</w:t>
            </w:r>
          </w:p>
          <w:p w14:paraId="5BB004D6" w14:textId="77777777" w:rsidR="007C20F3" w:rsidRDefault="007C20F3" w:rsidP="00865C35"/>
        </w:tc>
      </w:tr>
      <w:tr w:rsidR="00E55F7C" w14:paraId="5BB004DE" w14:textId="77777777" w:rsidTr="00E55F7C">
        <w:tc>
          <w:tcPr>
            <w:tcW w:w="704" w:type="dxa"/>
          </w:tcPr>
          <w:p w14:paraId="5BB004D8" w14:textId="77777777" w:rsidR="00E55F7C" w:rsidRDefault="00E55F7C" w:rsidP="00865C35"/>
          <w:p w14:paraId="5BB004D9" w14:textId="77777777" w:rsidR="00632D8A" w:rsidRDefault="00632D8A" w:rsidP="00865C35">
            <w:r>
              <w:t>5.1.5</w:t>
            </w:r>
          </w:p>
          <w:p w14:paraId="5BB004DA" w14:textId="77777777" w:rsidR="00632D8A" w:rsidRDefault="00632D8A" w:rsidP="00865C35"/>
        </w:tc>
        <w:tc>
          <w:tcPr>
            <w:tcW w:w="8312" w:type="dxa"/>
          </w:tcPr>
          <w:p w14:paraId="5BB004DB" w14:textId="77777777" w:rsidR="00E55F7C" w:rsidRDefault="00E55F7C" w:rsidP="00865C35"/>
          <w:p w14:paraId="5BB004DC" w14:textId="7FE5DD84" w:rsidR="00632D8A" w:rsidRDefault="00632D8A" w:rsidP="00865C35">
            <w:r>
              <w:t xml:space="preserve">Reports prepared following an inspection visit will be issued to an IP for comments and a deadline for the receipt of such comments will be set.  There is no requirement for an IP to respond unless where stipulated within the report.  However, </w:t>
            </w:r>
            <w:r w:rsidR="00394947">
              <w:t>R&amp;CC</w:t>
            </w:r>
            <w:r>
              <w:t xml:space="preserve"> will expect to be able to understand from an IP their explanation for any matters of concern raised at an inspection visit along with their intentions for correcting such matters.</w:t>
            </w:r>
          </w:p>
          <w:p w14:paraId="5BB004DD" w14:textId="77777777" w:rsidR="00632D8A" w:rsidRDefault="00632D8A" w:rsidP="00865C35"/>
        </w:tc>
      </w:tr>
      <w:tr w:rsidR="00632D8A" w14:paraId="5BB004E4" w14:textId="77777777" w:rsidTr="00E55F7C">
        <w:tc>
          <w:tcPr>
            <w:tcW w:w="704" w:type="dxa"/>
          </w:tcPr>
          <w:p w14:paraId="5BB004DF" w14:textId="77777777" w:rsidR="00632D8A" w:rsidRDefault="00632D8A" w:rsidP="00865C35"/>
          <w:p w14:paraId="5BB004E0" w14:textId="77777777" w:rsidR="00632D8A" w:rsidRDefault="00632D8A" w:rsidP="00865C35">
            <w:r>
              <w:t>5.1.6</w:t>
            </w:r>
          </w:p>
        </w:tc>
        <w:tc>
          <w:tcPr>
            <w:tcW w:w="8312" w:type="dxa"/>
          </w:tcPr>
          <w:p w14:paraId="5BB004E1" w14:textId="77777777" w:rsidR="00632D8A" w:rsidRDefault="00632D8A" w:rsidP="00865C35"/>
          <w:p w14:paraId="5BB004E2" w14:textId="584606B8" w:rsidR="00632D8A" w:rsidRDefault="00632D8A" w:rsidP="00865C35">
            <w:r>
              <w:t xml:space="preserve">Upon receipt of any response from an IP further to [5.1.5], the report and any response will be reviewed by the Secretariat in advance of consideration by </w:t>
            </w:r>
            <w:r w:rsidR="00394947">
              <w:t>R&amp;CC</w:t>
            </w:r>
            <w:r>
              <w:t xml:space="preserve">.  </w:t>
            </w:r>
          </w:p>
          <w:p w14:paraId="5BB004E3" w14:textId="77777777" w:rsidR="00632D8A" w:rsidRDefault="00632D8A" w:rsidP="00865C35"/>
        </w:tc>
      </w:tr>
      <w:tr w:rsidR="00632D8A" w14:paraId="5BB004EA" w14:textId="77777777" w:rsidTr="00E55F7C">
        <w:tc>
          <w:tcPr>
            <w:tcW w:w="704" w:type="dxa"/>
          </w:tcPr>
          <w:p w14:paraId="5BB004E5" w14:textId="77777777" w:rsidR="00632D8A" w:rsidRDefault="00632D8A" w:rsidP="00865C35"/>
          <w:p w14:paraId="5BB004E6" w14:textId="77777777" w:rsidR="004B7505" w:rsidRDefault="004B7505" w:rsidP="00865C35">
            <w:r>
              <w:t>5.1.7</w:t>
            </w:r>
          </w:p>
        </w:tc>
        <w:tc>
          <w:tcPr>
            <w:tcW w:w="8312" w:type="dxa"/>
          </w:tcPr>
          <w:p w14:paraId="5BB004E7" w14:textId="77777777" w:rsidR="00632D8A" w:rsidRDefault="00632D8A" w:rsidP="00865C35"/>
          <w:p w14:paraId="5BB004E8" w14:textId="0EE46CC9" w:rsidR="004B7505" w:rsidRDefault="004B7505" w:rsidP="00865C35">
            <w:r>
              <w:t xml:space="preserve">If the Secretariat identifies as part of a review under [5.1.6], matters that require referral to the </w:t>
            </w:r>
            <w:r w:rsidR="00394947">
              <w:t>R&amp;CC</w:t>
            </w:r>
            <w:r>
              <w:t xml:space="preserve"> under the </w:t>
            </w:r>
            <w:r w:rsidR="00394947">
              <w:t>Conduct Rules</w:t>
            </w:r>
            <w:r>
              <w:t xml:space="preserve">, then a complaint file will be </w:t>
            </w:r>
            <w:proofErr w:type="gramStart"/>
            <w:r>
              <w:t>opened</w:t>
            </w:r>
            <w:proofErr w:type="gramEnd"/>
            <w:r>
              <w:t xml:space="preserve"> and the IP contacted accordingly.</w:t>
            </w:r>
          </w:p>
          <w:p w14:paraId="5BB004E9" w14:textId="77777777" w:rsidR="004B7505" w:rsidRDefault="004B7505" w:rsidP="00865C35"/>
        </w:tc>
      </w:tr>
    </w:tbl>
    <w:p w14:paraId="5BB004EB" w14:textId="77777777" w:rsidR="00E55F7C" w:rsidRDefault="00E55F7C" w:rsidP="00865C35">
      <w:pPr>
        <w:spacing w:after="0"/>
      </w:pPr>
    </w:p>
    <w:tbl>
      <w:tblPr>
        <w:tblStyle w:val="TableGrid"/>
        <w:tblW w:w="0" w:type="auto"/>
        <w:tblLook w:val="04A0" w:firstRow="1" w:lastRow="0" w:firstColumn="1" w:lastColumn="0" w:noHBand="0" w:noVBand="1"/>
      </w:tblPr>
      <w:tblGrid>
        <w:gridCol w:w="704"/>
        <w:gridCol w:w="8312"/>
      </w:tblGrid>
      <w:tr w:rsidR="00B949CD" w:rsidRPr="00B949CD" w14:paraId="5BB004EE" w14:textId="77777777" w:rsidTr="00B949CD">
        <w:tc>
          <w:tcPr>
            <w:tcW w:w="704" w:type="dxa"/>
          </w:tcPr>
          <w:p w14:paraId="5BB004EC" w14:textId="77777777" w:rsidR="00B949CD" w:rsidRPr="00B949CD" w:rsidRDefault="00B949CD" w:rsidP="00865C35">
            <w:pPr>
              <w:rPr>
                <w:b/>
              </w:rPr>
            </w:pPr>
            <w:r w:rsidRPr="00B949CD">
              <w:rPr>
                <w:b/>
              </w:rPr>
              <w:t>5.2</w:t>
            </w:r>
          </w:p>
        </w:tc>
        <w:tc>
          <w:tcPr>
            <w:tcW w:w="8312" w:type="dxa"/>
          </w:tcPr>
          <w:p w14:paraId="5BB004ED" w14:textId="77777777" w:rsidR="00B949CD" w:rsidRPr="00B949CD" w:rsidRDefault="00B949CD" w:rsidP="00865C35">
            <w:pPr>
              <w:rPr>
                <w:b/>
              </w:rPr>
            </w:pPr>
            <w:r w:rsidRPr="00B949CD">
              <w:rPr>
                <w:b/>
              </w:rPr>
              <w:t>Self-certification</w:t>
            </w:r>
          </w:p>
        </w:tc>
      </w:tr>
      <w:tr w:rsidR="00B949CD" w14:paraId="5BB004F4" w14:textId="77777777" w:rsidTr="00B949CD">
        <w:tc>
          <w:tcPr>
            <w:tcW w:w="704" w:type="dxa"/>
          </w:tcPr>
          <w:p w14:paraId="5BB004EF" w14:textId="77777777" w:rsidR="00BF569C" w:rsidRDefault="00BF569C" w:rsidP="00865C35"/>
          <w:p w14:paraId="5BB004F0" w14:textId="77777777" w:rsidR="00B949CD" w:rsidRDefault="00B949CD" w:rsidP="00865C35">
            <w:r>
              <w:t>5.2.1</w:t>
            </w:r>
          </w:p>
        </w:tc>
        <w:tc>
          <w:tcPr>
            <w:tcW w:w="8312" w:type="dxa"/>
          </w:tcPr>
          <w:p w14:paraId="5BB004F1" w14:textId="77777777" w:rsidR="00B949CD" w:rsidRDefault="00B949CD" w:rsidP="00865C35"/>
          <w:p w14:paraId="5BB004F2" w14:textId="3DE28700" w:rsidR="00551F55" w:rsidRDefault="00551F55" w:rsidP="00551F55">
            <w:r>
              <w:t xml:space="preserve">IPs will be subject to periodic requests by the Secretariat to undertake reviews of their files and communicate the results to the Secretariat, either on a routine basis as part of a normal monitoring cycle or on an extraordinary basis, where </w:t>
            </w:r>
            <w:r w:rsidR="00394947">
              <w:t>R&amp;CC</w:t>
            </w:r>
            <w:r>
              <w:t xml:space="preserve"> has ordered that such reviews should be undertaken by an IP.</w:t>
            </w:r>
          </w:p>
          <w:p w14:paraId="5BB004F3" w14:textId="77777777" w:rsidR="00BF569C" w:rsidRDefault="00BF569C" w:rsidP="00865C35"/>
        </w:tc>
      </w:tr>
      <w:tr w:rsidR="00B949CD" w14:paraId="5BB004FB" w14:textId="77777777" w:rsidTr="00B949CD">
        <w:tc>
          <w:tcPr>
            <w:tcW w:w="704" w:type="dxa"/>
          </w:tcPr>
          <w:p w14:paraId="5BB004F5" w14:textId="77777777" w:rsidR="00551F55" w:rsidRDefault="00551F55" w:rsidP="00865C35"/>
          <w:p w14:paraId="5BB004F6" w14:textId="77777777" w:rsidR="00B949CD" w:rsidRDefault="00551F55" w:rsidP="00865C35">
            <w:r>
              <w:lastRenderedPageBreak/>
              <w:t>5.2.2</w:t>
            </w:r>
          </w:p>
          <w:p w14:paraId="5BB004F7" w14:textId="77777777" w:rsidR="00551F55" w:rsidRDefault="00551F55" w:rsidP="00865C35"/>
        </w:tc>
        <w:tc>
          <w:tcPr>
            <w:tcW w:w="8312" w:type="dxa"/>
          </w:tcPr>
          <w:p w14:paraId="5BB004F8" w14:textId="77777777" w:rsidR="00B949CD" w:rsidRDefault="00B949CD" w:rsidP="00865C35"/>
          <w:p w14:paraId="5BB004F9" w14:textId="77777777" w:rsidR="00551F55" w:rsidRDefault="00551F55" w:rsidP="00551F55">
            <w:r>
              <w:lastRenderedPageBreak/>
              <w:t xml:space="preserve">Failure to provide information further to a request </w:t>
            </w:r>
            <w:r w:rsidR="00632D8A">
              <w:t xml:space="preserve">from </w:t>
            </w:r>
            <w:r>
              <w:t xml:space="preserve">the </w:t>
            </w:r>
            <w:r w:rsidR="00632D8A">
              <w:t>Secretariat</w:t>
            </w:r>
            <w:r>
              <w:t xml:space="preserve"> under [5.2.1] will be treated in accordance with [4.1.3].</w:t>
            </w:r>
          </w:p>
          <w:p w14:paraId="5BB004FA" w14:textId="77777777" w:rsidR="00551F55" w:rsidRDefault="00551F55" w:rsidP="00865C35"/>
        </w:tc>
      </w:tr>
      <w:tr w:rsidR="00B949CD" w14:paraId="5BB00501" w14:textId="77777777" w:rsidTr="00B949CD">
        <w:tc>
          <w:tcPr>
            <w:tcW w:w="704" w:type="dxa"/>
          </w:tcPr>
          <w:p w14:paraId="5BB004FC" w14:textId="77777777" w:rsidR="00B949CD" w:rsidRDefault="00B949CD" w:rsidP="00865C35"/>
          <w:p w14:paraId="5BB004FD" w14:textId="77777777" w:rsidR="00551F55" w:rsidRDefault="00551F55" w:rsidP="00865C35">
            <w:r>
              <w:t>5.2.3</w:t>
            </w:r>
          </w:p>
        </w:tc>
        <w:tc>
          <w:tcPr>
            <w:tcW w:w="8312" w:type="dxa"/>
          </w:tcPr>
          <w:p w14:paraId="5BB004FE" w14:textId="77777777" w:rsidR="00B949CD" w:rsidRDefault="00B949CD" w:rsidP="00865C35"/>
          <w:p w14:paraId="5BB004FF" w14:textId="16A531F0" w:rsidR="00632D8A" w:rsidRDefault="00551F55" w:rsidP="00632D8A">
            <w:r>
              <w:t xml:space="preserve">An ongoing or repeated failure to </w:t>
            </w:r>
            <w:r w:rsidR="00632D8A">
              <w:t>provide information further to a request from</w:t>
            </w:r>
            <w:r>
              <w:t xml:space="preserve"> the Secretariat </w:t>
            </w:r>
            <w:r w:rsidR="00632D8A">
              <w:t xml:space="preserve">under [5.2.1] will constitute grounds for an emergency licence restriction under the </w:t>
            </w:r>
            <w:r w:rsidR="00394947">
              <w:t>Regulatory Rules</w:t>
            </w:r>
            <w:r w:rsidR="00632D8A">
              <w:t xml:space="preserve"> pending further consideration by </w:t>
            </w:r>
            <w:r w:rsidR="00394947">
              <w:t>R&amp;CC</w:t>
            </w:r>
            <w:r w:rsidR="00632D8A">
              <w:t xml:space="preserve"> in accordance with the </w:t>
            </w:r>
            <w:r w:rsidR="00394947">
              <w:t>Regulatory Rules</w:t>
            </w:r>
            <w:r w:rsidR="00632D8A">
              <w:t xml:space="preserve"> and [4.1.6] may be applied. </w:t>
            </w:r>
          </w:p>
          <w:p w14:paraId="5BB00500" w14:textId="77777777" w:rsidR="00551F55" w:rsidRDefault="00551F55" w:rsidP="00632D8A"/>
        </w:tc>
      </w:tr>
      <w:tr w:rsidR="004B7505" w14:paraId="5BB00507" w14:textId="77777777" w:rsidTr="00B949CD">
        <w:tc>
          <w:tcPr>
            <w:tcW w:w="704" w:type="dxa"/>
          </w:tcPr>
          <w:p w14:paraId="5BB00502" w14:textId="77777777" w:rsidR="004B7505" w:rsidRDefault="004B7505" w:rsidP="00865C35"/>
          <w:p w14:paraId="5BB00503" w14:textId="77777777" w:rsidR="004B7505" w:rsidRDefault="004B7505" w:rsidP="00865C35">
            <w:r>
              <w:t>5.2.4</w:t>
            </w:r>
          </w:p>
        </w:tc>
        <w:tc>
          <w:tcPr>
            <w:tcW w:w="8312" w:type="dxa"/>
          </w:tcPr>
          <w:p w14:paraId="5BB00504" w14:textId="77777777" w:rsidR="004B7505" w:rsidRDefault="004B7505" w:rsidP="00865C35"/>
          <w:p w14:paraId="5BB00505" w14:textId="77777777" w:rsidR="004B7505" w:rsidRDefault="004B7505" w:rsidP="004B7505">
            <w:r>
              <w:t xml:space="preserve">Upon receipt of a response from an IP to a request under [5.2.1], the Secretariat will review the information received.  Where applicable that review may take place as part of preparation for an inspection visit.  </w:t>
            </w:r>
          </w:p>
          <w:p w14:paraId="5BB00506" w14:textId="77777777" w:rsidR="004B7505" w:rsidRDefault="004B7505" w:rsidP="00865C35"/>
        </w:tc>
      </w:tr>
      <w:tr w:rsidR="004B7505" w14:paraId="5BB0050D" w14:textId="77777777" w:rsidTr="00B949CD">
        <w:tc>
          <w:tcPr>
            <w:tcW w:w="704" w:type="dxa"/>
          </w:tcPr>
          <w:p w14:paraId="5BB00508" w14:textId="77777777" w:rsidR="004B7505" w:rsidRDefault="004B7505" w:rsidP="00865C35"/>
          <w:p w14:paraId="5BB00509" w14:textId="77777777" w:rsidR="004B7505" w:rsidRDefault="004B7505" w:rsidP="00865C35">
            <w:r>
              <w:t>5.2.5</w:t>
            </w:r>
          </w:p>
        </w:tc>
        <w:tc>
          <w:tcPr>
            <w:tcW w:w="8312" w:type="dxa"/>
          </w:tcPr>
          <w:p w14:paraId="5BB0050A" w14:textId="77777777" w:rsidR="004B7505" w:rsidRDefault="004B7505" w:rsidP="00865C35"/>
          <w:p w14:paraId="5BB0050B" w14:textId="69A96974" w:rsidR="004B7505" w:rsidRDefault="004B7505" w:rsidP="00865C35">
            <w:r>
              <w:t xml:space="preserve">Where the Secretariat identifies as part of a review under [5.2.4], matters that require referral to the </w:t>
            </w:r>
            <w:r w:rsidR="00394947">
              <w:t>R&amp;CC</w:t>
            </w:r>
            <w:r>
              <w:t xml:space="preserve"> under the </w:t>
            </w:r>
            <w:r w:rsidR="00394947">
              <w:t>Conduct Rules</w:t>
            </w:r>
            <w:r>
              <w:t xml:space="preserve">, then a complaint file will be </w:t>
            </w:r>
            <w:proofErr w:type="gramStart"/>
            <w:r>
              <w:t>opened</w:t>
            </w:r>
            <w:proofErr w:type="gramEnd"/>
            <w:r>
              <w:t xml:space="preserve"> and the IP contacted accordingly.</w:t>
            </w:r>
          </w:p>
          <w:p w14:paraId="5BB0050C" w14:textId="77777777" w:rsidR="004B7505" w:rsidRDefault="004B7505" w:rsidP="00865C35"/>
        </w:tc>
      </w:tr>
    </w:tbl>
    <w:p w14:paraId="5BB0050E" w14:textId="77777777" w:rsidR="00CF2BFC" w:rsidRDefault="00CF2BFC" w:rsidP="00865C35">
      <w:pPr>
        <w:spacing w:after="0"/>
      </w:pPr>
    </w:p>
    <w:p w14:paraId="5BB0050F" w14:textId="77777777" w:rsidR="00865C35" w:rsidRDefault="00865C35">
      <w:r>
        <w:br w:type="page"/>
      </w:r>
    </w:p>
    <w:p w14:paraId="5BB00510" w14:textId="77777777" w:rsidR="00865C35" w:rsidRPr="00CC25A9" w:rsidRDefault="002F4221" w:rsidP="00865C35">
      <w:pPr>
        <w:spacing w:after="0"/>
        <w:rPr>
          <w:rFonts w:ascii="Arial" w:hAnsi="Arial" w:cs="Arial"/>
          <w:color w:val="0070C0"/>
          <w:sz w:val="32"/>
          <w:szCs w:val="32"/>
        </w:rPr>
      </w:pPr>
      <w:r>
        <w:rPr>
          <w:rFonts w:ascii="Arial" w:hAnsi="Arial" w:cs="Arial"/>
          <w:color w:val="0070C0"/>
          <w:sz w:val="32"/>
          <w:szCs w:val="32"/>
        </w:rPr>
        <w:lastRenderedPageBreak/>
        <w:t xml:space="preserve">6. </w:t>
      </w:r>
      <w:r w:rsidR="00865C35" w:rsidRPr="00CC25A9">
        <w:rPr>
          <w:rFonts w:ascii="Arial" w:hAnsi="Arial" w:cs="Arial"/>
          <w:color w:val="0070C0"/>
          <w:sz w:val="32"/>
          <w:szCs w:val="32"/>
        </w:rPr>
        <w:t>Complaints</w:t>
      </w:r>
    </w:p>
    <w:p w14:paraId="5BB00511" w14:textId="77777777" w:rsidR="00865C35" w:rsidRDefault="00865C35" w:rsidP="00865C35">
      <w:pPr>
        <w:spacing w:after="0"/>
      </w:pPr>
    </w:p>
    <w:tbl>
      <w:tblPr>
        <w:tblStyle w:val="TableGrid"/>
        <w:tblW w:w="0" w:type="auto"/>
        <w:tblLook w:val="04A0" w:firstRow="1" w:lastRow="0" w:firstColumn="1" w:lastColumn="0" w:noHBand="0" w:noVBand="1"/>
      </w:tblPr>
      <w:tblGrid>
        <w:gridCol w:w="846"/>
        <w:gridCol w:w="8170"/>
      </w:tblGrid>
      <w:tr w:rsidR="00841C22" w:rsidRPr="00E0396C" w14:paraId="5BB00514" w14:textId="77777777" w:rsidTr="00841C22">
        <w:tc>
          <w:tcPr>
            <w:tcW w:w="846" w:type="dxa"/>
          </w:tcPr>
          <w:p w14:paraId="5BB00512" w14:textId="77777777" w:rsidR="00841C22" w:rsidRPr="00E0396C" w:rsidRDefault="00E0396C" w:rsidP="00865C35">
            <w:pPr>
              <w:rPr>
                <w:b/>
              </w:rPr>
            </w:pPr>
            <w:r w:rsidRPr="00E0396C">
              <w:rPr>
                <w:b/>
              </w:rPr>
              <w:t>6.1</w:t>
            </w:r>
          </w:p>
        </w:tc>
        <w:tc>
          <w:tcPr>
            <w:tcW w:w="8170" w:type="dxa"/>
          </w:tcPr>
          <w:p w14:paraId="5BB00513" w14:textId="77777777" w:rsidR="00841C22" w:rsidRPr="00E0396C" w:rsidRDefault="00E0396C" w:rsidP="00865C35">
            <w:pPr>
              <w:rPr>
                <w:b/>
              </w:rPr>
            </w:pPr>
            <w:r w:rsidRPr="00E0396C">
              <w:rPr>
                <w:b/>
              </w:rPr>
              <w:t>Complaint Enquiries</w:t>
            </w:r>
          </w:p>
        </w:tc>
      </w:tr>
      <w:tr w:rsidR="00841C22" w14:paraId="5BB0051A" w14:textId="77777777" w:rsidTr="00841C22">
        <w:tc>
          <w:tcPr>
            <w:tcW w:w="846" w:type="dxa"/>
          </w:tcPr>
          <w:p w14:paraId="5BB00515" w14:textId="77777777" w:rsidR="00E0396C" w:rsidRDefault="00E0396C" w:rsidP="00865C35"/>
          <w:p w14:paraId="5BB00516" w14:textId="77777777" w:rsidR="00841C22" w:rsidRDefault="00E0396C" w:rsidP="00865C35">
            <w:r>
              <w:t>6.1.1</w:t>
            </w:r>
          </w:p>
        </w:tc>
        <w:tc>
          <w:tcPr>
            <w:tcW w:w="8170" w:type="dxa"/>
          </w:tcPr>
          <w:p w14:paraId="5BB00517" w14:textId="77777777" w:rsidR="00841C22" w:rsidRDefault="00841C22" w:rsidP="00865C35"/>
          <w:p w14:paraId="5BB00518" w14:textId="77777777" w:rsidR="00E0396C" w:rsidRDefault="00E0396C" w:rsidP="00865C35">
            <w:r>
              <w:t xml:space="preserve">Complaints are normally received from the Insolvency Service Complaints Gateway but can be received directly from a complainant in cases where the concern/IPA member </w:t>
            </w:r>
            <w:r w:rsidR="000708A5">
              <w:t>is not covered by the Gateway.</w:t>
            </w:r>
          </w:p>
          <w:p w14:paraId="5BB00519" w14:textId="77777777" w:rsidR="000708A5" w:rsidRDefault="000708A5" w:rsidP="00865C35"/>
        </w:tc>
      </w:tr>
      <w:tr w:rsidR="00841C22" w14:paraId="5BB00520" w14:textId="77777777" w:rsidTr="00841C22">
        <w:tc>
          <w:tcPr>
            <w:tcW w:w="846" w:type="dxa"/>
          </w:tcPr>
          <w:p w14:paraId="5BB0051B" w14:textId="77777777" w:rsidR="00841C22" w:rsidRDefault="00841C22" w:rsidP="00865C35"/>
          <w:p w14:paraId="5BB0051C" w14:textId="77777777" w:rsidR="000708A5" w:rsidRDefault="000708A5" w:rsidP="00865C35">
            <w:r>
              <w:t>6.1.2</w:t>
            </w:r>
          </w:p>
        </w:tc>
        <w:tc>
          <w:tcPr>
            <w:tcW w:w="8170" w:type="dxa"/>
          </w:tcPr>
          <w:p w14:paraId="5BB0051D" w14:textId="77777777" w:rsidR="00841C22" w:rsidRDefault="00841C22" w:rsidP="00865C35"/>
          <w:p w14:paraId="5BB0051E" w14:textId="77777777" w:rsidR="00CF1A37" w:rsidRDefault="000708A5" w:rsidP="00CF1A37">
            <w:r>
              <w:t>All complaints are evaluated and enquiries may be made to establish whether any disciplinary liability may attach to the issue(s) raised.</w:t>
            </w:r>
            <w:r w:rsidR="00CF1A37">
              <w:t xml:space="preserve">  When making enquiries of an IP, the Secretariat will set a deadline for a response.  </w:t>
            </w:r>
          </w:p>
          <w:p w14:paraId="5BB0051F" w14:textId="77777777" w:rsidR="000708A5" w:rsidRDefault="000708A5" w:rsidP="00865C35"/>
        </w:tc>
      </w:tr>
      <w:tr w:rsidR="00841C22" w14:paraId="5BB00527" w14:textId="77777777" w:rsidTr="00841C22">
        <w:tc>
          <w:tcPr>
            <w:tcW w:w="846" w:type="dxa"/>
          </w:tcPr>
          <w:p w14:paraId="5BB00521" w14:textId="77777777" w:rsidR="00841C22" w:rsidRDefault="00841C22" w:rsidP="00865C35"/>
          <w:p w14:paraId="5BB00522" w14:textId="77777777" w:rsidR="000708A5" w:rsidRDefault="000708A5" w:rsidP="00865C35">
            <w:r>
              <w:t>6.1.3</w:t>
            </w:r>
          </w:p>
          <w:p w14:paraId="5BB00523" w14:textId="77777777" w:rsidR="000708A5" w:rsidRDefault="000708A5" w:rsidP="00865C35"/>
        </w:tc>
        <w:tc>
          <w:tcPr>
            <w:tcW w:w="8170" w:type="dxa"/>
          </w:tcPr>
          <w:p w14:paraId="5BB00524" w14:textId="77777777" w:rsidR="00841C22" w:rsidRDefault="00841C22" w:rsidP="00865C35"/>
          <w:p w14:paraId="5BB00525" w14:textId="77777777" w:rsidR="00CF1A37" w:rsidRDefault="00CF1A37" w:rsidP="00865C35">
            <w:r>
              <w:t>A failure to respond to such enquiries will be treated in accordan</w:t>
            </w:r>
            <w:r w:rsidR="00383EE3">
              <w:t>ce with [4.1.3], with an</w:t>
            </w:r>
            <w:r>
              <w:t xml:space="preserve"> </w:t>
            </w:r>
            <w:r w:rsidR="00383EE3">
              <w:t xml:space="preserve">additional </w:t>
            </w:r>
            <w:r>
              <w:t xml:space="preserve">complaint being </w:t>
            </w:r>
            <w:r w:rsidR="00383EE3">
              <w:t>raised by the Secretariat.</w:t>
            </w:r>
          </w:p>
          <w:p w14:paraId="5BB00526" w14:textId="77777777" w:rsidR="00CF1A37" w:rsidRDefault="00CF1A37" w:rsidP="00865C35"/>
        </w:tc>
      </w:tr>
      <w:tr w:rsidR="00383EE3" w14:paraId="5BB0052F" w14:textId="77777777" w:rsidTr="00841C22">
        <w:tc>
          <w:tcPr>
            <w:tcW w:w="846" w:type="dxa"/>
          </w:tcPr>
          <w:p w14:paraId="5BB00528" w14:textId="77777777" w:rsidR="00383EE3" w:rsidRDefault="00383EE3" w:rsidP="00865C35"/>
          <w:p w14:paraId="5BB00529" w14:textId="77777777" w:rsidR="00383EE3" w:rsidRDefault="00383EE3" w:rsidP="00865C35">
            <w:r>
              <w:t>6.1.4</w:t>
            </w:r>
          </w:p>
          <w:p w14:paraId="5BB0052A" w14:textId="77777777" w:rsidR="00383EE3" w:rsidRDefault="00383EE3" w:rsidP="00865C35"/>
          <w:p w14:paraId="5BB0052B" w14:textId="77777777" w:rsidR="00383EE3" w:rsidRDefault="00383EE3" w:rsidP="00865C35"/>
        </w:tc>
        <w:tc>
          <w:tcPr>
            <w:tcW w:w="8170" w:type="dxa"/>
          </w:tcPr>
          <w:p w14:paraId="5BB0052C" w14:textId="77777777" w:rsidR="00383EE3" w:rsidRDefault="00383EE3" w:rsidP="00865C35"/>
          <w:p w14:paraId="5BB0052D" w14:textId="77777777" w:rsidR="00383EE3" w:rsidRDefault="00383EE3" w:rsidP="00865C35">
            <w:r>
              <w:t>Where the Secretariat does not receive a response to its enquiries, it will proceed on the basis that a complainant’s submissions, whether or not evidenced, are an accurate account of the applicable events, concluding as necessary as to whether there is any liability to disciplinary action</w:t>
            </w:r>
            <w:r w:rsidR="008A38B7">
              <w:t>.</w:t>
            </w:r>
          </w:p>
          <w:p w14:paraId="5BB0052E" w14:textId="77777777" w:rsidR="00383EE3" w:rsidRDefault="00383EE3" w:rsidP="00865C35"/>
        </w:tc>
      </w:tr>
    </w:tbl>
    <w:p w14:paraId="5BB00530" w14:textId="77777777" w:rsidR="00841C22" w:rsidRDefault="00841C22" w:rsidP="00865C35">
      <w:pPr>
        <w:spacing w:after="0"/>
      </w:pPr>
    </w:p>
    <w:tbl>
      <w:tblPr>
        <w:tblStyle w:val="TableGrid"/>
        <w:tblW w:w="0" w:type="auto"/>
        <w:tblLook w:val="04A0" w:firstRow="1" w:lastRow="0" w:firstColumn="1" w:lastColumn="0" w:noHBand="0" w:noVBand="1"/>
      </w:tblPr>
      <w:tblGrid>
        <w:gridCol w:w="846"/>
        <w:gridCol w:w="8170"/>
      </w:tblGrid>
      <w:tr w:rsidR="008A38B7" w:rsidRPr="008A38B7" w14:paraId="5BB00533" w14:textId="77777777" w:rsidTr="008A38B7">
        <w:tc>
          <w:tcPr>
            <w:tcW w:w="846" w:type="dxa"/>
          </w:tcPr>
          <w:p w14:paraId="5BB00531" w14:textId="77777777" w:rsidR="008A38B7" w:rsidRPr="008A38B7" w:rsidRDefault="008A38B7" w:rsidP="00865C35">
            <w:pPr>
              <w:rPr>
                <w:b/>
              </w:rPr>
            </w:pPr>
            <w:r w:rsidRPr="008A38B7">
              <w:rPr>
                <w:b/>
              </w:rPr>
              <w:t>6.2</w:t>
            </w:r>
          </w:p>
        </w:tc>
        <w:tc>
          <w:tcPr>
            <w:tcW w:w="8170" w:type="dxa"/>
          </w:tcPr>
          <w:p w14:paraId="5BB00532" w14:textId="77777777" w:rsidR="008A38B7" w:rsidRPr="008A38B7" w:rsidRDefault="008A38B7" w:rsidP="00865C35">
            <w:pPr>
              <w:rPr>
                <w:b/>
              </w:rPr>
            </w:pPr>
            <w:r w:rsidRPr="008A38B7">
              <w:rPr>
                <w:b/>
              </w:rPr>
              <w:t>Complaint Investigations</w:t>
            </w:r>
          </w:p>
        </w:tc>
      </w:tr>
      <w:tr w:rsidR="008A38B7" w14:paraId="5BB00539" w14:textId="77777777" w:rsidTr="008A38B7">
        <w:tc>
          <w:tcPr>
            <w:tcW w:w="846" w:type="dxa"/>
          </w:tcPr>
          <w:p w14:paraId="5BB00534" w14:textId="77777777" w:rsidR="008A38B7" w:rsidRDefault="008A38B7" w:rsidP="00865C35"/>
          <w:p w14:paraId="5BB00535" w14:textId="77777777" w:rsidR="008A38B7" w:rsidRDefault="008A38B7" w:rsidP="00865C35">
            <w:r>
              <w:t>6.2.1</w:t>
            </w:r>
          </w:p>
        </w:tc>
        <w:tc>
          <w:tcPr>
            <w:tcW w:w="8170" w:type="dxa"/>
          </w:tcPr>
          <w:p w14:paraId="5BB00536" w14:textId="77777777" w:rsidR="008A38B7" w:rsidRDefault="008A38B7" w:rsidP="00865C35"/>
          <w:p w14:paraId="5BB00537" w14:textId="7F195165" w:rsidR="008A38B7" w:rsidRDefault="008A38B7" w:rsidP="00865C35">
            <w:r>
              <w:t>Where an IP is considered by the Secretariat to be potentially liable to disciplinary action, the Secretariat will compose one or more all</w:t>
            </w:r>
            <w:r w:rsidR="00614D79">
              <w:t xml:space="preserve">egations for an IP to answer and the IP will be given an opportunity to provide any final representations </w:t>
            </w:r>
            <w:r w:rsidR="002B2565">
              <w:t xml:space="preserve">in accordance with the </w:t>
            </w:r>
            <w:r w:rsidR="00394947">
              <w:t>Conduct Rules</w:t>
            </w:r>
            <w:r w:rsidR="002B2565">
              <w:t xml:space="preserve">, prior to </w:t>
            </w:r>
            <w:r w:rsidR="00394947">
              <w:t>R&amp;CC</w:t>
            </w:r>
            <w:r w:rsidR="002B2565">
              <w:t xml:space="preserve"> consideration.</w:t>
            </w:r>
          </w:p>
          <w:p w14:paraId="5BB00538" w14:textId="77777777" w:rsidR="008A38B7" w:rsidRDefault="008A38B7" w:rsidP="00865C35"/>
        </w:tc>
      </w:tr>
      <w:tr w:rsidR="008A38B7" w14:paraId="5BB0053F" w14:textId="77777777" w:rsidTr="008A38B7">
        <w:tc>
          <w:tcPr>
            <w:tcW w:w="846" w:type="dxa"/>
          </w:tcPr>
          <w:p w14:paraId="5BB0053A" w14:textId="77777777" w:rsidR="008A38B7" w:rsidRDefault="008A38B7" w:rsidP="00865C35"/>
          <w:p w14:paraId="5BB0053B" w14:textId="77777777" w:rsidR="00614D79" w:rsidRDefault="00614D79" w:rsidP="00865C35">
            <w:r>
              <w:t>6.2.2</w:t>
            </w:r>
          </w:p>
        </w:tc>
        <w:tc>
          <w:tcPr>
            <w:tcW w:w="8170" w:type="dxa"/>
          </w:tcPr>
          <w:p w14:paraId="5BB0053C" w14:textId="77777777" w:rsidR="008A38B7" w:rsidRDefault="008A38B7" w:rsidP="00865C35"/>
          <w:p w14:paraId="5BB0053D" w14:textId="01278675" w:rsidR="00614D79" w:rsidRDefault="002B2565" w:rsidP="00865C35">
            <w:r>
              <w:t xml:space="preserve">If no response is received to final representations requested under the </w:t>
            </w:r>
            <w:r w:rsidR="00394947">
              <w:t>Conduct Rules</w:t>
            </w:r>
            <w:r>
              <w:t xml:space="preserve"> and [6.2.1], then a referral to the </w:t>
            </w:r>
            <w:r w:rsidR="00394947">
              <w:t>R&amp;C</w:t>
            </w:r>
            <w:r>
              <w:t>C will proceed without further confirmation to the IP.</w:t>
            </w:r>
          </w:p>
          <w:p w14:paraId="5BB0053E" w14:textId="77777777" w:rsidR="00614D79" w:rsidRDefault="00614D79" w:rsidP="00865C35"/>
        </w:tc>
      </w:tr>
      <w:tr w:rsidR="008A38B7" w14:paraId="5BB00546" w14:textId="77777777" w:rsidTr="008A38B7">
        <w:tc>
          <w:tcPr>
            <w:tcW w:w="846" w:type="dxa"/>
          </w:tcPr>
          <w:p w14:paraId="5BB00540" w14:textId="77777777" w:rsidR="008A38B7" w:rsidRDefault="008A38B7" w:rsidP="00865C35"/>
          <w:p w14:paraId="5BB00541" w14:textId="77777777" w:rsidR="002B2565" w:rsidRDefault="002B2565" w:rsidP="00865C35">
            <w:r>
              <w:t>6.2.3</w:t>
            </w:r>
          </w:p>
          <w:p w14:paraId="5BB00542" w14:textId="77777777" w:rsidR="002B2565" w:rsidRDefault="002B2565" w:rsidP="00865C35"/>
        </w:tc>
        <w:tc>
          <w:tcPr>
            <w:tcW w:w="8170" w:type="dxa"/>
          </w:tcPr>
          <w:p w14:paraId="5BB00543" w14:textId="77777777" w:rsidR="008A38B7" w:rsidRDefault="008A38B7" w:rsidP="00865C35"/>
          <w:p w14:paraId="5BB00544" w14:textId="40B4EFDE" w:rsidR="002B2565" w:rsidRDefault="002B2565" w:rsidP="00865C35">
            <w:r>
              <w:t xml:space="preserve">The </w:t>
            </w:r>
            <w:r w:rsidR="00394947">
              <w:t>R&amp;CC</w:t>
            </w:r>
            <w:r>
              <w:t xml:space="preserve"> will </w:t>
            </w:r>
            <w:proofErr w:type="gramStart"/>
            <w:r>
              <w:t>take into account</w:t>
            </w:r>
            <w:proofErr w:type="gramEnd"/>
            <w:r>
              <w:t xml:space="preserve"> in the calculation of any fines and cost orders the level of cooperation that the IP has provided in the course of the complaint investigation.</w:t>
            </w:r>
            <w:r w:rsidR="000455BB">
              <w:t xml:space="preserve">  Failure to cooperate will be treated as an aggravating factor and fines/costs increased accordingly.</w:t>
            </w:r>
          </w:p>
          <w:p w14:paraId="5BB00545" w14:textId="77777777" w:rsidR="002B2565" w:rsidRDefault="002B2565" w:rsidP="00865C35"/>
        </w:tc>
      </w:tr>
      <w:tr w:rsidR="002B2565" w14:paraId="5BB00551" w14:textId="77777777" w:rsidTr="008A38B7">
        <w:tc>
          <w:tcPr>
            <w:tcW w:w="846" w:type="dxa"/>
          </w:tcPr>
          <w:p w14:paraId="5BB00547" w14:textId="77777777" w:rsidR="002B2565" w:rsidRDefault="002B2565" w:rsidP="00865C35"/>
          <w:p w14:paraId="5BB00548" w14:textId="77777777" w:rsidR="002B2565" w:rsidRDefault="002B2565" w:rsidP="00865C35">
            <w:r>
              <w:t>6.2.4</w:t>
            </w:r>
          </w:p>
          <w:p w14:paraId="5BB00549" w14:textId="77777777" w:rsidR="002B2565" w:rsidRDefault="002B2565" w:rsidP="00865C35"/>
        </w:tc>
        <w:tc>
          <w:tcPr>
            <w:tcW w:w="8170" w:type="dxa"/>
          </w:tcPr>
          <w:p w14:paraId="5BB0054A" w14:textId="77777777" w:rsidR="002B2565" w:rsidRDefault="002B2565" w:rsidP="00865C35"/>
          <w:p w14:paraId="5BB0054B" w14:textId="03B7FE0A" w:rsidR="002B2565" w:rsidRDefault="005703D1" w:rsidP="00865C35">
            <w:r>
              <w:t>If an IP fails to provide</w:t>
            </w:r>
            <w:r w:rsidR="002B2565">
              <w:t xml:space="preserve"> without a reasonable explanation, information in response to a  complaint until a late stage that could have been provided sooner, causing additional work </w:t>
            </w:r>
            <w:r w:rsidR="00504600">
              <w:t xml:space="preserve">for the Secretariat and/or processing time at the </w:t>
            </w:r>
            <w:r w:rsidR="00394947">
              <w:t>R&amp;CC</w:t>
            </w:r>
            <w:r w:rsidR="00504600">
              <w:t>, then:</w:t>
            </w:r>
          </w:p>
          <w:p w14:paraId="5BB0054C" w14:textId="77777777" w:rsidR="00504600" w:rsidRDefault="00504600" w:rsidP="00865C35"/>
          <w:p w14:paraId="5BB0054D" w14:textId="77777777" w:rsidR="00504600" w:rsidRDefault="00504600" w:rsidP="00504600">
            <w:pPr>
              <w:pStyle w:val="ListParagraph"/>
              <w:numPr>
                <w:ilvl w:val="0"/>
                <w:numId w:val="8"/>
              </w:numPr>
            </w:pPr>
            <w:r>
              <w:t>any cost order will increase accordingly; and/or</w:t>
            </w:r>
          </w:p>
          <w:p w14:paraId="5BB00550" w14:textId="32A95440" w:rsidR="00504600" w:rsidRDefault="00504600" w:rsidP="00782A4D">
            <w:pPr>
              <w:pStyle w:val="ListParagraph"/>
              <w:numPr>
                <w:ilvl w:val="0"/>
                <w:numId w:val="8"/>
              </w:numPr>
            </w:pPr>
            <w:r>
              <w:t>a new complaint may be opened in relation to a failure to respond properly to the Secretariat/</w:t>
            </w:r>
            <w:r w:rsidR="00394947">
              <w:t>R&amp;CC</w:t>
            </w:r>
            <w:r>
              <w:t>.</w:t>
            </w:r>
          </w:p>
        </w:tc>
      </w:tr>
      <w:tr w:rsidR="000455BB" w14:paraId="5BB00558" w14:textId="77777777" w:rsidTr="008A38B7">
        <w:tc>
          <w:tcPr>
            <w:tcW w:w="846" w:type="dxa"/>
          </w:tcPr>
          <w:p w14:paraId="5BB00552" w14:textId="77777777" w:rsidR="000455BB" w:rsidRDefault="000455BB" w:rsidP="00865C35"/>
          <w:p w14:paraId="5BB00553" w14:textId="77777777" w:rsidR="000455BB" w:rsidRDefault="000455BB" w:rsidP="00865C35">
            <w:r>
              <w:t>6.2.5</w:t>
            </w:r>
          </w:p>
          <w:p w14:paraId="5BB00554" w14:textId="77777777" w:rsidR="000455BB" w:rsidRDefault="000455BB" w:rsidP="00865C35"/>
        </w:tc>
        <w:tc>
          <w:tcPr>
            <w:tcW w:w="8170" w:type="dxa"/>
          </w:tcPr>
          <w:p w14:paraId="5BB00555" w14:textId="77777777" w:rsidR="000455BB" w:rsidRDefault="000455BB" w:rsidP="00865C35"/>
          <w:p w14:paraId="5BB00556" w14:textId="0BAF5794" w:rsidR="000455BB" w:rsidRDefault="000455BB" w:rsidP="00865C35">
            <w:r>
              <w:t xml:space="preserve">The </w:t>
            </w:r>
            <w:r w:rsidR="00394947">
              <w:t>Conduct Rules</w:t>
            </w:r>
            <w:r>
              <w:t xml:space="preserve"> provide for an IP being allowed by the </w:t>
            </w:r>
            <w:r w:rsidR="00394947">
              <w:t>R&amp;CC</w:t>
            </w:r>
            <w:r>
              <w:t xml:space="preserve"> to attend a meeting of the </w:t>
            </w:r>
            <w:r w:rsidR="00394947">
              <w:t>R&amp;CC</w:t>
            </w:r>
            <w:r>
              <w:t xml:space="preserve">, at the </w:t>
            </w:r>
            <w:r w:rsidR="00394947">
              <w:t>R&amp;CC</w:t>
            </w:r>
            <w:r>
              <w:t xml:space="preserve">’s discretion.  This is by exception and the </w:t>
            </w:r>
            <w:r w:rsidR="00394947">
              <w:t>R&amp;CC</w:t>
            </w:r>
            <w:r>
              <w:t xml:space="preserve"> expects all responses to complaints to be in writing and evidence</w:t>
            </w:r>
            <w:r w:rsidR="005703D1">
              <w:t xml:space="preserve"> to be submitted </w:t>
            </w:r>
            <w:r>
              <w:t xml:space="preserve">in documentary form.  </w:t>
            </w:r>
            <w:r w:rsidR="005703D1">
              <w:t>Where</w:t>
            </w:r>
            <w:r w:rsidR="005F344F">
              <w:t xml:space="preserve"> a prima facie case has been found, all submissions in relation to sanction must be in writing and requests to address the </w:t>
            </w:r>
            <w:r w:rsidR="00394947">
              <w:t>R&amp;CC</w:t>
            </w:r>
            <w:r w:rsidR="005F344F">
              <w:t xml:space="preserve"> at that stage will not be granted.</w:t>
            </w:r>
          </w:p>
          <w:p w14:paraId="5BB00557" w14:textId="77777777" w:rsidR="000455BB" w:rsidRDefault="000455BB" w:rsidP="00865C35"/>
        </w:tc>
      </w:tr>
    </w:tbl>
    <w:p w14:paraId="5BB00559" w14:textId="77777777" w:rsidR="008A38B7" w:rsidRDefault="008A38B7" w:rsidP="00865C35">
      <w:pPr>
        <w:spacing w:after="0"/>
      </w:pPr>
    </w:p>
    <w:tbl>
      <w:tblPr>
        <w:tblStyle w:val="TableGrid"/>
        <w:tblW w:w="0" w:type="auto"/>
        <w:tblLook w:val="04A0" w:firstRow="1" w:lastRow="0" w:firstColumn="1" w:lastColumn="0" w:noHBand="0" w:noVBand="1"/>
      </w:tblPr>
      <w:tblGrid>
        <w:gridCol w:w="846"/>
        <w:gridCol w:w="8170"/>
      </w:tblGrid>
      <w:tr w:rsidR="008A38B7" w:rsidRPr="008A38B7" w14:paraId="5BB0055C" w14:textId="77777777" w:rsidTr="008A38B7">
        <w:tc>
          <w:tcPr>
            <w:tcW w:w="846" w:type="dxa"/>
          </w:tcPr>
          <w:p w14:paraId="5BB0055A" w14:textId="77777777" w:rsidR="008A38B7" w:rsidRPr="008A38B7" w:rsidRDefault="008A38B7" w:rsidP="00865C35">
            <w:pPr>
              <w:rPr>
                <w:b/>
              </w:rPr>
            </w:pPr>
            <w:r w:rsidRPr="008A38B7">
              <w:rPr>
                <w:b/>
              </w:rPr>
              <w:t>6.3</w:t>
            </w:r>
          </w:p>
        </w:tc>
        <w:tc>
          <w:tcPr>
            <w:tcW w:w="8170" w:type="dxa"/>
          </w:tcPr>
          <w:p w14:paraId="5BB0055B" w14:textId="77777777" w:rsidR="008A38B7" w:rsidRPr="008A38B7" w:rsidRDefault="008A38B7" w:rsidP="00865C35">
            <w:pPr>
              <w:rPr>
                <w:b/>
              </w:rPr>
            </w:pPr>
            <w:r w:rsidRPr="008A38B7">
              <w:rPr>
                <w:b/>
              </w:rPr>
              <w:t>Joint Appointments</w:t>
            </w:r>
          </w:p>
        </w:tc>
      </w:tr>
      <w:tr w:rsidR="008A38B7" w14:paraId="5BB00562" w14:textId="77777777" w:rsidTr="008A38B7">
        <w:tc>
          <w:tcPr>
            <w:tcW w:w="846" w:type="dxa"/>
          </w:tcPr>
          <w:p w14:paraId="5BB0055D" w14:textId="77777777" w:rsidR="008A38B7" w:rsidRDefault="008A38B7" w:rsidP="00865C35"/>
          <w:p w14:paraId="5BB0055E" w14:textId="77777777" w:rsidR="008A38B7" w:rsidRDefault="008A38B7" w:rsidP="00865C35">
            <w:r>
              <w:t>6.3.1</w:t>
            </w:r>
          </w:p>
        </w:tc>
        <w:tc>
          <w:tcPr>
            <w:tcW w:w="8170" w:type="dxa"/>
          </w:tcPr>
          <w:p w14:paraId="5BB0055F" w14:textId="77777777" w:rsidR="008A38B7" w:rsidRDefault="008A38B7" w:rsidP="00865C35"/>
          <w:p w14:paraId="5BB00560" w14:textId="77777777" w:rsidR="008A38B7" w:rsidRDefault="008A38B7" w:rsidP="00865C35">
            <w:r>
              <w:t xml:space="preserve">Where complaints are made about an insolvency appointment where two IPA IPs are appointed, the Secretariat will make enquiries to establish </w:t>
            </w:r>
            <w:r w:rsidR="00473933">
              <w:t>which</w:t>
            </w:r>
            <w:r w:rsidR="00E15846">
              <w:t xml:space="preserve"> </w:t>
            </w:r>
            <w:r w:rsidR="00473933">
              <w:t xml:space="preserve">IP </w:t>
            </w:r>
            <w:r w:rsidR="00E15846">
              <w:t xml:space="preserve">has responsibility </w:t>
            </w:r>
            <w:r w:rsidR="00473933">
              <w:t>for the issue(s) complained about.</w:t>
            </w:r>
          </w:p>
          <w:p w14:paraId="5BB00561" w14:textId="77777777" w:rsidR="00035F26" w:rsidRDefault="00035F26" w:rsidP="00865C35"/>
        </w:tc>
      </w:tr>
      <w:tr w:rsidR="008A38B7" w14:paraId="5BB00568" w14:textId="77777777" w:rsidTr="008A38B7">
        <w:tc>
          <w:tcPr>
            <w:tcW w:w="846" w:type="dxa"/>
          </w:tcPr>
          <w:p w14:paraId="5BB00563" w14:textId="77777777" w:rsidR="008A38B7" w:rsidRDefault="008A38B7" w:rsidP="00865C35"/>
          <w:p w14:paraId="5BB00564" w14:textId="77777777" w:rsidR="00035F26" w:rsidRDefault="00035F26" w:rsidP="00865C35">
            <w:r>
              <w:t>6.3.2</w:t>
            </w:r>
          </w:p>
        </w:tc>
        <w:tc>
          <w:tcPr>
            <w:tcW w:w="8170" w:type="dxa"/>
          </w:tcPr>
          <w:p w14:paraId="5BB00565" w14:textId="77777777" w:rsidR="008A38B7" w:rsidRDefault="008A38B7" w:rsidP="00865C35"/>
          <w:p w14:paraId="5BB00566" w14:textId="77777777" w:rsidR="00035F26" w:rsidRDefault="00035F26" w:rsidP="00035F26">
            <w:r>
              <w:t>In circumstances where IPs have equal responsibility for the conduct of an insolvency appointment and the issue(s) complained about, the complaint will be processed against all appointed IPs and all IPs will be asked to answer any allegation(s).</w:t>
            </w:r>
          </w:p>
          <w:p w14:paraId="5BB00567" w14:textId="77777777" w:rsidR="00035F26" w:rsidRDefault="00035F26" w:rsidP="00035F26"/>
        </w:tc>
      </w:tr>
      <w:tr w:rsidR="008A38B7" w14:paraId="5BB0056F" w14:textId="77777777" w:rsidTr="008A38B7">
        <w:tc>
          <w:tcPr>
            <w:tcW w:w="846" w:type="dxa"/>
          </w:tcPr>
          <w:p w14:paraId="5BB00569" w14:textId="77777777" w:rsidR="008A38B7" w:rsidRDefault="008A38B7" w:rsidP="00865C35"/>
          <w:p w14:paraId="5BB0056A" w14:textId="77777777" w:rsidR="00035F26" w:rsidRDefault="00035F26" w:rsidP="00865C35">
            <w:r>
              <w:t>6.3.3</w:t>
            </w:r>
          </w:p>
          <w:p w14:paraId="5BB0056B" w14:textId="77777777" w:rsidR="00035F26" w:rsidRDefault="00035F26" w:rsidP="00865C35"/>
        </w:tc>
        <w:tc>
          <w:tcPr>
            <w:tcW w:w="8170" w:type="dxa"/>
          </w:tcPr>
          <w:p w14:paraId="5BB0056C" w14:textId="77777777" w:rsidR="008A38B7" w:rsidRDefault="008A38B7" w:rsidP="00865C35"/>
          <w:p w14:paraId="5BB0056D" w14:textId="6505E8F3" w:rsidR="00035F26" w:rsidRDefault="00035F26" w:rsidP="00865C35">
            <w:r>
              <w:t>Where there is any disagreement between IPs as to who has responsibility for the issue(s) complained about, the Sec</w:t>
            </w:r>
            <w:r w:rsidR="00614D79">
              <w:t xml:space="preserve">retariat will decide </w:t>
            </w:r>
            <w:r w:rsidR="00782A4D">
              <w:t>against whom</w:t>
            </w:r>
            <w:r>
              <w:t xml:space="preserve"> to process a complaint.</w:t>
            </w:r>
          </w:p>
          <w:p w14:paraId="5BB0056E" w14:textId="77777777" w:rsidR="00035F26" w:rsidRDefault="00035F26" w:rsidP="00865C35"/>
        </w:tc>
      </w:tr>
      <w:tr w:rsidR="00035F26" w14:paraId="5BB00575" w14:textId="77777777" w:rsidTr="008A38B7">
        <w:tc>
          <w:tcPr>
            <w:tcW w:w="846" w:type="dxa"/>
          </w:tcPr>
          <w:p w14:paraId="5BB00570" w14:textId="77777777" w:rsidR="00035F26" w:rsidRDefault="00035F26" w:rsidP="00865C35"/>
          <w:p w14:paraId="5BB00571" w14:textId="77777777" w:rsidR="00035F26" w:rsidRDefault="00035F26" w:rsidP="00865C35">
            <w:r>
              <w:t>6.3.4</w:t>
            </w:r>
          </w:p>
        </w:tc>
        <w:tc>
          <w:tcPr>
            <w:tcW w:w="8170" w:type="dxa"/>
          </w:tcPr>
          <w:p w14:paraId="5BB00572" w14:textId="77777777" w:rsidR="00035F26" w:rsidRDefault="00035F26" w:rsidP="00865C35"/>
          <w:p w14:paraId="5BB00573" w14:textId="2FFFBD5E" w:rsidR="00035F26" w:rsidRDefault="00035F26" w:rsidP="00865C35">
            <w:r>
              <w:t>Occasionally complaints will be made against</w:t>
            </w:r>
            <w:r w:rsidR="005703D1">
              <w:t xml:space="preserve"> IPs holding joint appointments</w:t>
            </w:r>
            <w:r>
              <w:t xml:space="preserve"> where the IPs are authorised by different Recognised Professional Bodies.  In those circumstances, the Insolvency Service Complaints Gateway may refer complaints to all bodies involved and the bodies will decide between them which </w:t>
            </w:r>
            <w:r w:rsidR="00782A4D">
              <w:t xml:space="preserve">one </w:t>
            </w:r>
            <w:r w:rsidR="00614D79">
              <w:t>will be responsible for the primary investigation of the complaint.</w:t>
            </w:r>
          </w:p>
          <w:p w14:paraId="5BB00574" w14:textId="77777777" w:rsidR="00035F26" w:rsidRDefault="00035F26" w:rsidP="00865C35"/>
        </w:tc>
      </w:tr>
    </w:tbl>
    <w:p w14:paraId="5BB00576" w14:textId="77777777" w:rsidR="00841C22" w:rsidRDefault="00841C22" w:rsidP="00865C35">
      <w:pPr>
        <w:spacing w:after="0"/>
      </w:pPr>
    </w:p>
    <w:tbl>
      <w:tblPr>
        <w:tblStyle w:val="TableGrid"/>
        <w:tblW w:w="0" w:type="auto"/>
        <w:tblLook w:val="04A0" w:firstRow="1" w:lastRow="0" w:firstColumn="1" w:lastColumn="0" w:noHBand="0" w:noVBand="1"/>
      </w:tblPr>
      <w:tblGrid>
        <w:gridCol w:w="846"/>
        <w:gridCol w:w="8170"/>
      </w:tblGrid>
      <w:tr w:rsidR="00504600" w:rsidRPr="00504600" w14:paraId="5BB00579" w14:textId="77777777" w:rsidTr="00504600">
        <w:tc>
          <w:tcPr>
            <w:tcW w:w="846" w:type="dxa"/>
          </w:tcPr>
          <w:p w14:paraId="5BB00577" w14:textId="77777777" w:rsidR="00504600" w:rsidRPr="00504600" w:rsidRDefault="00504600" w:rsidP="00865C35">
            <w:pPr>
              <w:rPr>
                <w:b/>
              </w:rPr>
            </w:pPr>
            <w:r w:rsidRPr="00504600">
              <w:rPr>
                <w:b/>
              </w:rPr>
              <w:t>6.4</w:t>
            </w:r>
          </w:p>
        </w:tc>
        <w:tc>
          <w:tcPr>
            <w:tcW w:w="8170" w:type="dxa"/>
          </w:tcPr>
          <w:p w14:paraId="5BB00578" w14:textId="77777777" w:rsidR="00504600" w:rsidRPr="00504600" w:rsidRDefault="00504600" w:rsidP="00865C35">
            <w:pPr>
              <w:rPr>
                <w:b/>
              </w:rPr>
            </w:pPr>
            <w:r w:rsidRPr="00504600">
              <w:rPr>
                <w:b/>
              </w:rPr>
              <w:t>Sanction</w:t>
            </w:r>
          </w:p>
        </w:tc>
      </w:tr>
      <w:tr w:rsidR="00504600" w14:paraId="5BB0057F" w14:textId="77777777" w:rsidTr="00504600">
        <w:tc>
          <w:tcPr>
            <w:tcW w:w="846" w:type="dxa"/>
          </w:tcPr>
          <w:p w14:paraId="5BB0057A" w14:textId="77777777" w:rsidR="00504600" w:rsidRDefault="00504600" w:rsidP="00865C35"/>
          <w:p w14:paraId="5BB0057B" w14:textId="77777777" w:rsidR="00504600" w:rsidRDefault="00504600" w:rsidP="00865C35">
            <w:r>
              <w:t>6.4.1</w:t>
            </w:r>
          </w:p>
        </w:tc>
        <w:tc>
          <w:tcPr>
            <w:tcW w:w="8170" w:type="dxa"/>
          </w:tcPr>
          <w:p w14:paraId="5BB0057C" w14:textId="77777777" w:rsidR="00504600" w:rsidRDefault="00504600" w:rsidP="00865C35"/>
          <w:p w14:paraId="5BB0057D" w14:textId="2E1C5C0A" w:rsidR="00504600" w:rsidRDefault="00504600" w:rsidP="00865C35">
            <w:r>
              <w:t xml:space="preserve">The </w:t>
            </w:r>
            <w:r w:rsidR="00394947">
              <w:t>R&amp;CC</w:t>
            </w:r>
            <w:r>
              <w:t xml:space="preserve"> will refer to the Common Sanctions Guidance when considering the action to take in accordance with the </w:t>
            </w:r>
            <w:r w:rsidR="00394947">
              <w:t>Conduct Rules</w:t>
            </w:r>
            <w:r>
              <w:t xml:space="preserve"> following a prima facie case finding.</w:t>
            </w:r>
          </w:p>
          <w:p w14:paraId="5BB0057E" w14:textId="77777777" w:rsidR="00504600" w:rsidRDefault="00504600" w:rsidP="00865C35"/>
        </w:tc>
      </w:tr>
      <w:tr w:rsidR="00504600" w14:paraId="5BB00585" w14:textId="77777777" w:rsidTr="00504600">
        <w:tc>
          <w:tcPr>
            <w:tcW w:w="846" w:type="dxa"/>
          </w:tcPr>
          <w:p w14:paraId="5BB00580" w14:textId="77777777" w:rsidR="00504600" w:rsidRDefault="00504600" w:rsidP="00865C35"/>
          <w:p w14:paraId="5BB00581" w14:textId="77777777" w:rsidR="00504600" w:rsidRDefault="00504600" w:rsidP="00865C35">
            <w:r>
              <w:t>6.4.2</w:t>
            </w:r>
          </w:p>
        </w:tc>
        <w:tc>
          <w:tcPr>
            <w:tcW w:w="8170" w:type="dxa"/>
          </w:tcPr>
          <w:p w14:paraId="5BB00582" w14:textId="77777777" w:rsidR="00504600" w:rsidRDefault="00504600" w:rsidP="00865C35"/>
          <w:p w14:paraId="5BB00583" w14:textId="581A8BDF" w:rsidR="000455BB" w:rsidRDefault="000455BB" w:rsidP="00865C35">
            <w:r>
              <w:t xml:space="preserve">The </w:t>
            </w:r>
            <w:r w:rsidR="00394947">
              <w:t>R&amp;CC</w:t>
            </w:r>
            <w:r>
              <w:t xml:space="preserve"> will </w:t>
            </w:r>
            <w:proofErr w:type="gramStart"/>
            <w:r>
              <w:t>take into account</w:t>
            </w:r>
            <w:proofErr w:type="gramEnd"/>
            <w:r>
              <w:t xml:space="preserve"> an IP’s regulatory and disciplinary record when considering aggravating and mitigating factors.</w:t>
            </w:r>
          </w:p>
          <w:p w14:paraId="5BB00584" w14:textId="77777777" w:rsidR="000455BB" w:rsidRDefault="000455BB" w:rsidP="00865C35"/>
        </w:tc>
      </w:tr>
      <w:tr w:rsidR="00504600" w14:paraId="5BB0058C" w14:textId="77777777" w:rsidTr="00504600">
        <w:tc>
          <w:tcPr>
            <w:tcW w:w="846" w:type="dxa"/>
          </w:tcPr>
          <w:p w14:paraId="5BB00586" w14:textId="77777777" w:rsidR="00504600" w:rsidRDefault="00504600" w:rsidP="00865C35"/>
          <w:p w14:paraId="5BB00587" w14:textId="77777777" w:rsidR="000455BB" w:rsidRDefault="000455BB" w:rsidP="00865C35">
            <w:r>
              <w:t>6.4.3</w:t>
            </w:r>
          </w:p>
          <w:p w14:paraId="5BB00588" w14:textId="77777777" w:rsidR="000455BB" w:rsidRDefault="000455BB" w:rsidP="00865C35"/>
        </w:tc>
        <w:tc>
          <w:tcPr>
            <w:tcW w:w="8170" w:type="dxa"/>
          </w:tcPr>
          <w:p w14:paraId="5BB00589" w14:textId="77777777" w:rsidR="00504600" w:rsidRDefault="00504600" w:rsidP="00865C35"/>
          <w:p w14:paraId="5BB0058A" w14:textId="777478A5" w:rsidR="000455BB" w:rsidRDefault="000455BB" w:rsidP="00865C35">
            <w:r>
              <w:t xml:space="preserve">Where complaints are referred under [5.1.7] or by the </w:t>
            </w:r>
            <w:r w:rsidR="00394947">
              <w:t>R&amp;CC</w:t>
            </w:r>
            <w:r>
              <w:t xml:space="preserve"> then it will be </w:t>
            </w:r>
            <w:proofErr w:type="gramStart"/>
            <w:r>
              <w:t>taken into account</w:t>
            </w:r>
            <w:proofErr w:type="gramEnd"/>
            <w:r>
              <w:t xml:space="preserve"> that the complaint was generated from within the IPA.</w:t>
            </w:r>
          </w:p>
          <w:p w14:paraId="5BB0058B" w14:textId="77777777" w:rsidR="000455BB" w:rsidRDefault="000455BB" w:rsidP="00865C35"/>
        </w:tc>
      </w:tr>
    </w:tbl>
    <w:p w14:paraId="5BB0058D" w14:textId="77777777" w:rsidR="00504600" w:rsidRDefault="00504600" w:rsidP="00865C35">
      <w:pPr>
        <w:spacing w:after="0"/>
      </w:pPr>
    </w:p>
    <w:tbl>
      <w:tblPr>
        <w:tblStyle w:val="TableGrid"/>
        <w:tblW w:w="0" w:type="auto"/>
        <w:tblLook w:val="04A0" w:firstRow="1" w:lastRow="0" w:firstColumn="1" w:lastColumn="0" w:noHBand="0" w:noVBand="1"/>
      </w:tblPr>
      <w:tblGrid>
        <w:gridCol w:w="846"/>
        <w:gridCol w:w="8170"/>
      </w:tblGrid>
      <w:tr w:rsidR="00D838FA" w:rsidRPr="00D838FA" w14:paraId="5BB00590" w14:textId="77777777" w:rsidTr="00D838FA">
        <w:tc>
          <w:tcPr>
            <w:tcW w:w="846" w:type="dxa"/>
          </w:tcPr>
          <w:p w14:paraId="5BB0058E" w14:textId="77777777" w:rsidR="00D838FA" w:rsidRPr="00D838FA" w:rsidRDefault="00D838FA" w:rsidP="00865C35">
            <w:pPr>
              <w:rPr>
                <w:b/>
              </w:rPr>
            </w:pPr>
            <w:r w:rsidRPr="00D838FA">
              <w:rPr>
                <w:b/>
              </w:rPr>
              <w:t>6.5</w:t>
            </w:r>
          </w:p>
        </w:tc>
        <w:tc>
          <w:tcPr>
            <w:tcW w:w="8170" w:type="dxa"/>
          </w:tcPr>
          <w:p w14:paraId="5BB0058F" w14:textId="77777777" w:rsidR="00D838FA" w:rsidRPr="00D838FA" w:rsidRDefault="00D838FA" w:rsidP="00865C35">
            <w:pPr>
              <w:rPr>
                <w:b/>
              </w:rPr>
            </w:pPr>
            <w:r w:rsidRPr="00D838FA">
              <w:rPr>
                <w:b/>
              </w:rPr>
              <w:t>Complaints Against Members Of IPA Committees</w:t>
            </w:r>
          </w:p>
        </w:tc>
      </w:tr>
      <w:tr w:rsidR="00D838FA" w14:paraId="5BB00596" w14:textId="77777777" w:rsidTr="00D838FA">
        <w:tc>
          <w:tcPr>
            <w:tcW w:w="846" w:type="dxa"/>
          </w:tcPr>
          <w:p w14:paraId="5BB00591" w14:textId="77777777" w:rsidR="00D838FA" w:rsidRDefault="00D838FA" w:rsidP="00865C35"/>
          <w:p w14:paraId="5BB00592" w14:textId="77777777" w:rsidR="00D838FA" w:rsidRDefault="00D838FA" w:rsidP="00865C35">
            <w:r>
              <w:t>6.5.1</w:t>
            </w:r>
          </w:p>
        </w:tc>
        <w:tc>
          <w:tcPr>
            <w:tcW w:w="8170" w:type="dxa"/>
          </w:tcPr>
          <w:p w14:paraId="5BB00593" w14:textId="77777777" w:rsidR="00D838FA" w:rsidRDefault="00D838FA" w:rsidP="00865C35"/>
          <w:p w14:paraId="5BB00594" w14:textId="7DBDFF43" w:rsidR="00D838FA" w:rsidRDefault="00D838FA" w:rsidP="00865C35">
            <w:r>
              <w:t>Complaints about IPA committee members will not be processed any differently by the Secretariat</w:t>
            </w:r>
            <w:r w:rsidR="00151E00">
              <w:t>, with the exception of complaints against members of regulatory committees that may necessitate additional reporting</w:t>
            </w:r>
            <w:r w:rsidR="00CF0457">
              <w:t xml:space="preserve"> to the </w:t>
            </w:r>
            <w:r w:rsidR="00394947">
              <w:t>R&amp;CC</w:t>
            </w:r>
            <w:r w:rsidR="00151E00">
              <w:t>, consultation</w:t>
            </w:r>
            <w:r w:rsidR="00CF0457">
              <w:t xml:space="preserve"> between the </w:t>
            </w:r>
            <w:r w:rsidR="00CF0457">
              <w:lastRenderedPageBreak/>
              <w:t xml:space="preserve">Secretariat and </w:t>
            </w:r>
            <w:r w:rsidR="00394947">
              <w:t>R&amp;CC</w:t>
            </w:r>
            <w:r w:rsidR="00151E00">
              <w:t xml:space="preserve"> or advice to the Secretariat in order to preserve </w:t>
            </w:r>
            <w:r w:rsidR="00CF0457">
              <w:t>the integrity of the processes</w:t>
            </w:r>
            <w:r w:rsidR="00151E00">
              <w:t>.</w:t>
            </w:r>
          </w:p>
          <w:p w14:paraId="5BB00595" w14:textId="77777777" w:rsidR="00D838FA" w:rsidRDefault="00D838FA" w:rsidP="00865C35"/>
        </w:tc>
      </w:tr>
      <w:tr w:rsidR="00D838FA" w14:paraId="5BB0059C" w14:textId="77777777" w:rsidTr="00D838FA">
        <w:tc>
          <w:tcPr>
            <w:tcW w:w="846" w:type="dxa"/>
          </w:tcPr>
          <w:p w14:paraId="5BB00597" w14:textId="77777777" w:rsidR="00D838FA" w:rsidRDefault="00D838FA" w:rsidP="00865C35"/>
          <w:p w14:paraId="5BB00598" w14:textId="77777777" w:rsidR="00D838FA" w:rsidRDefault="00D838FA" w:rsidP="00865C35">
            <w:r>
              <w:t>6.5.2</w:t>
            </w:r>
          </w:p>
        </w:tc>
        <w:tc>
          <w:tcPr>
            <w:tcW w:w="8170" w:type="dxa"/>
          </w:tcPr>
          <w:p w14:paraId="5BB00599" w14:textId="77777777" w:rsidR="00D838FA" w:rsidRDefault="00D838FA" w:rsidP="00865C35"/>
          <w:p w14:paraId="5BB0059A" w14:textId="1EEC0453" w:rsidR="00D838FA" w:rsidRDefault="00D838FA" w:rsidP="00865C35">
            <w:r>
              <w:t>The Secretariat will, in its discretion, report the details of complaints received about IPA committee members to the IPA President, Vice President, Deputy Vice President and</w:t>
            </w:r>
            <w:r w:rsidR="005D13ED">
              <w:t xml:space="preserve"> the</w:t>
            </w:r>
            <w:r>
              <w:t xml:space="preserve"> IPA </w:t>
            </w:r>
            <w:r w:rsidR="005D13ED">
              <w:t>Board</w:t>
            </w:r>
            <w:r>
              <w:t>.</w:t>
            </w:r>
          </w:p>
          <w:p w14:paraId="5BB0059B" w14:textId="77777777" w:rsidR="00D838FA" w:rsidRDefault="00D838FA" w:rsidP="00865C35"/>
        </w:tc>
      </w:tr>
      <w:tr w:rsidR="00D838FA" w14:paraId="5BB005A2" w14:textId="77777777" w:rsidTr="00D838FA">
        <w:tc>
          <w:tcPr>
            <w:tcW w:w="846" w:type="dxa"/>
          </w:tcPr>
          <w:p w14:paraId="5BB0059D" w14:textId="77777777" w:rsidR="00D838FA" w:rsidRDefault="00D838FA" w:rsidP="00865C35"/>
          <w:p w14:paraId="5BB0059E" w14:textId="77777777" w:rsidR="00D838FA" w:rsidRDefault="00D838FA" w:rsidP="00865C35">
            <w:r>
              <w:t>6.5.3</w:t>
            </w:r>
          </w:p>
        </w:tc>
        <w:tc>
          <w:tcPr>
            <w:tcW w:w="8170" w:type="dxa"/>
          </w:tcPr>
          <w:p w14:paraId="5BB0059F" w14:textId="77777777" w:rsidR="00D838FA" w:rsidRDefault="00D838FA" w:rsidP="00865C35"/>
          <w:p w14:paraId="5BB005A0" w14:textId="0DA3DC47" w:rsidR="00D838FA" w:rsidRDefault="00D838FA" w:rsidP="00865C35">
            <w:r>
              <w:t xml:space="preserve">In the event of a report under [6.5.2], </w:t>
            </w:r>
            <w:r w:rsidR="005D13ED">
              <w:t xml:space="preserve">the </w:t>
            </w:r>
            <w:r>
              <w:t xml:space="preserve">IPA </w:t>
            </w:r>
            <w:r w:rsidR="005D13ED">
              <w:t>Board</w:t>
            </w:r>
            <w:r w:rsidR="00260519">
              <w:t xml:space="preserve"> may require</w:t>
            </w:r>
            <w:r>
              <w:t xml:space="preserve"> the IPA committee member to cease IPA activity until the complaint has been concluded.</w:t>
            </w:r>
          </w:p>
          <w:p w14:paraId="5BB005A1" w14:textId="77777777" w:rsidR="00D838FA" w:rsidRDefault="00D838FA" w:rsidP="00865C35"/>
        </w:tc>
      </w:tr>
      <w:tr w:rsidR="00D838FA" w14:paraId="5BB005A9" w14:textId="77777777" w:rsidTr="00D838FA">
        <w:tc>
          <w:tcPr>
            <w:tcW w:w="846" w:type="dxa"/>
          </w:tcPr>
          <w:p w14:paraId="5BB005A3" w14:textId="77777777" w:rsidR="00D838FA" w:rsidRDefault="00D838FA" w:rsidP="00865C35"/>
          <w:p w14:paraId="5BB005A4" w14:textId="77777777" w:rsidR="00D838FA" w:rsidRDefault="00D838FA" w:rsidP="00865C35">
            <w:r>
              <w:t>6.5.4</w:t>
            </w:r>
          </w:p>
          <w:p w14:paraId="5BB005A5" w14:textId="77777777" w:rsidR="00D838FA" w:rsidRDefault="00D838FA" w:rsidP="00865C35"/>
        </w:tc>
        <w:tc>
          <w:tcPr>
            <w:tcW w:w="8170" w:type="dxa"/>
          </w:tcPr>
          <w:p w14:paraId="5BB005A6" w14:textId="77777777" w:rsidR="00D838FA" w:rsidRDefault="00D838FA" w:rsidP="00865C35"/>
          <w:p w14:paraId="5BB005A7" w14:textId="7AEF67C0" w:rsidR="00D838FA" w:rsidRDefault="00D838FA" w:rsidP="00865C35">
            <w:r>
              <w:t xml:space="preserve">In the event that an IPA committee member fails to cooperate with the IPA Secretariat, including responding properly to complaint enquiries, a report will be made in accordance with [6.5.2] and </w:t>
            </w:r>
            <w:r w:rsidR="005D13ED">
              <w:t xml:space="preserve">the </w:t>
            </w:r>
            <w:r>
              <w:t xml:space="preserve">IPA </w:t>
            </w:r>
            <w:r w:rsidR="005D13ED">
              <w:t>Board</w:t>
            </w:r>
            <w:r>
              <w:t xml:space="preserve"> may remove </w:t>
            </w:r>
            <w:r w:rsidR="00151E00">
              <w:t>the IPA committee member concerned from the committee(s) upon which they serve.</w:t>
            </w:r>
          </w:p>
          <w:p w14:paraId="5BB005A8" w14:textId="77777777" w:rsidR="00151E00" w:rsidRDefault="00151E00" w:rsidP="00865C35"/>
        </w:tc>
      </w:tr>
    </w:tbl>
    <w:p w14:paraId="5BB005AA" w14:textId="77777777" w:rsidR="00865C35" w:rsidRDefault="00865C35" w:rsidP="00865C35">
      <w:pPr>
        <w:spacing w:after="0"/>
      </w:pPr>
    </w:p>
    <w:p w14:paraId="5BB005AB" w14:textId="77777777" w:rsidR="00FA70B1" w:rsidRDefault="00FA70B1">
      <w:r>
        <w:br w:type="page"/>
      </w:r>
    </w:p>
    <w:p w14:paraId="5BB005AC" w14:textId="77777777" w:rsidR="00FA70B1" w:rsidRPr="00FA70B1" w:rsidRDefault="002F4221" w:rsidP="00FA70B1">
      <w:pPr>
        <w:spacing w:after="0"/>
        <w:rPr>
          <w:rFonts w:ascii="Arial" w:hAnsi="Arial" w:cs="Arial"/>
          <w:color w:val="0070C0"/>
          <w:sz w:val="32"/>
          <w:szCs w:val="32"/>
        </w:rPr>
      </w:pPr>
      <w:r>
        <w:rPr>
          <w:rFonts w:ascii="Arial" w:hAnsi="Arial" w:cs="Arial"/>
          <w:color w:val="0070C0"/>
          <w:sz w:val="32"/>
          <w:szCs w:val="32"/>
        </w:rPr>
        <w:lastRenderedPageBreak/>
        <w:t xml:space="preserve">7. </w:t>
      </w:r>
      <w:r w:rsidR="00FA70B1" w:rsidRPr="00FA70B1">
        <w:rPr>
          <w:rFonts w:ascii="Arial" w:hAnsi="Arial" w:cs="Arial"/>
          <w:color w:val="0070C0"/>
          <w:sz w:val="32"/>
          <w:szCs w:val="32"/>
        </w:rPr>
        <w:t>Firm representatives, other intermediaries and external compliance providers</w:t>
      </w:r>
    </w:p>
    <w:p w14:paraId="5BB005AD" w14:textId="77777777" w:rsidR="00FA70B1" w:rsidRDefault="00FA70B1" w:rsidP="00865C35">
      <w:pPr>
        <w:spacing w:after="0"/>
      </w:pPr>
    </w:p>
    <w:tbl>
      <w:tblPr>
        <w:tblStyle w:val="TableGrid"/>
        <w:tblW w:w="0" w:type="auto"/>
        <w:tblLook w:val="04A0" w:firstRow="1" w:lastRow="0" w:firstColumn="1" w:lastColumn="0" w:noHBand="0" w:noVBand="1"/>
      </w:tblPr>
      <w:tblGrid>
        <w:gridCol w:w="846"/>
        <w:gridCol w:w="8170"/>
      </w:tblGrid>
      <w:tr w:rsidR="00161404" w:rsidRPr="00066801" w14:paraId="5BB005B0" w14:textId="77777777" w:rsidTr="005703D1">
        <w:tc>
          <w:tcPr>
            <w:tcW w:w="846" w:type="dxa"/>
          </w:tcPr>
          <w:p w14:paraId="5BB005AE" w14:textId="77777777" w:rsidR="00161404" w:rsidRPr="00066801" w:rsidRDefault="005703D1" w:rsidP="00865C35">
            <w:pPr>
              <w:rPr>
                <w:b/>
              </w:rPr>
            </w:pPr>
            <w:r w:rsidRPr="00066801">
              <w:rPr>
                <w:b/>
              </w:rPr>
              <w:t>7.1</w:t>
            </w:r>
          </w:p>
        </w:tc>
        <w:tc>
          <w:tcPr>
            <w:tcW w:w="8170" w:type="dxa"/>
          </w:tcPr>
          <w:p w14:paraId="5BB005AF" w14:textId="77777777" w:rsidR="00161404" w:rsidRPr="00066801" w:rsidRDefault="005703D1" w:rsidP="00865C35">
            <w:pPr>
              <w:rPr>
                <w:b/>
              </w:rPr>
            </w:pPr>
            <w:r w:rsidRPr="00066801">
              <w:rPr>
                <w:b/>
              </w:rPr>
              <w:t>Firm Representatives And Other Nominated Representatives</w:t>
            </w:r>
          </w:p>
        </w:tc>
      </w:tr>
      <w:tr w:rsidR="00161404" w14:paraId="5BB005B6" w14:textId="77777777" w:rsidTr="005703D1">
        <w:tc>
          <w:tcPr>
            <w:tcW w:w="846" w:type="dxa"/>
          </w:tcPr>
          <w:p w14:paraId="5BB005B1" w14:textId="77777777" w:rsidR="00161404" w:rsidRDefault="00161404" w:rsidP="00865C35"/>
          <w:p w14:paraId="5BB005B2" w14:textId="77777777" w:rsidR="005703D1" w:rsidRDefault="005703D1" w:rsidP="00865C35">
            <w:r>
              <w:t>7.1.1</w:t>
            </w:r>
          </w:p>
        </w:tc>
        <w:tc>
          <w:tcPr>
            <w:tcW w:w="8170" w:type="dxa"/>
          </w:tcPr>
          <w:p w14:paraId="5BB005B3" w14:textId="77777777" w:rsidR="00161404" w:rsidRDefault="00161404" w:rsidP="00865C35"/>
          <w:p w14:paraId="5BB005B4" w14:textId="77777777" w:rsidR="005703D1" w:rsidRDefault="005703D1" w:rsidP="00865C35">
            <w:r>
              <w:t>IPs may nominate another person or persons to respond to regulatory matters on their behalf.</w:t>
            </w:r>
          </w:p>
          <w:p w14:paraId="5BB005B5" w14:textId="77777777" w:rsidR="005703D1" w:rsidRDefault="005703D1" w:rsidP="00865C35"/>
        </w:tc>
      </w:tr>
      <w:tr w:rsidR="00161404" w14:paraId="5BB005BC" w14:textId="77777777" w:rsidTr="005703D1">
        <w:tc>
          <w:tcPr>
            <w:tcW w:w="846" w:type="dxa"/>
          </w:tcPr>
          <w:p w14:paraId="5BB005B7" w14:textId="77777777" w:rsidR="00161404" w:rsidRDefault="00161404" w:rsidP="00865C35"/>
          <w:p w14:paraId="5BB005B8" w14:textId="77777777" w:rsidR="005703D1" w:rsidRDefault="005703D1" w:rsidP="00865C35">
            <w:r>
              <w:t>7.1.2</w:t>
            </w:r>
          </w:p>
        </w:tc>
        <w:tc>
          <w:tcPr>
            <w:tcW w:w="8170" w:type="dxa"/>
          </w:tcPr>
          <w:p w14:paraId="5BB005B9" w14:textId="77777777" w:rsidR="00161404" w:rsidRDefault="00161404" w:rsidP="00865C35"/>
          <w:p w14:paraId="5BB005BA" w14:textId="77777777" w:rsidR="005703D1" w:rsidRDefault="005703D1" w:rsidP="00865C35">
            <w:r>
              <w:t>In order for the Secretariat to issue or copy communications addressed to an IP to a third party, including individuals at their firm, written instruction must be received from the IP</w:t>
            </w:r>
            <w:r w:rsidR="00066801">
              <w:t>.</w:t>
            </w:r>
          </w:p>
          <w:p w14:paraId="5BB005BB" w14:textId="77777777" w:rsidR="00066801" w:rsidRDefault="00066801" w:rsidP="00865C35"/>
        </w:tc>
      </w:tr>
      <w:tr w:rsidR="00161404" w14:paraId="5BB005C2" w14:textId="77777777" w:rsidTr="005703D1">
        <w:tc>
          <w:tcPr>
            <w:tcW w:w="846" w:type="dxa"/>
          </w:tcPr>
          <w:p w14:paraId="5BB005BD" w14:textId="77777777" w:rsidR="00161404" w:rsidRDefault="00161404" w:rsidP="00865C35"/>
          <w:p w14:paraId="5BB005BE" w14:textId="77777777" w:rsidR="00066801" w:rsidRDefault="00066801" w:rsidP="00865C35">
            <w:r>
              <w:t>7.1.3</w:t>
            </w:r>
          </w:p>
        </w:tc>
        <w:tc>
          <w:tcPr>
            <w:tcW w:w="8170" w:type="dxa"/>
          </w:tcPr>
          <w:p w14:paraId="5BB005BF" w14:textId="77777777" w:rsidR="00161404" w:rsidRDefault="00161404" w:rsidP="00865C35"/>
          <w:p w14:paraId="5BB005C0" w14:textId="77777777" w:rsidR="00066801" w:rsidRDefault="00066801" w:rsidP="00865C35">
            <w:r>
              <w:t>An IP remains responsible for any communication issued on their behalf.</w:t>
            </w:r>
          </w:p>
          <w:p w14:paraId="5BB005C1" w14:textId="77777777" w:rsidR="00066801" w:rsidRDefault="00066801" w:rsidP="00865C35"/>
        </w:tc>
      </w:tr>
    </w:tbl>
    <w:p w14:paraId="5BB005C3" w14:textId="77777777" w:rsidR="00161404" w:rsidRDefault="00161404" w:rsidP="00865C35">
      <w:pPr>
        <w:spacing w:after="0"/>
      </w:pPr>
    </w:p>
    <w:tbl>
      <w:tblPr>
        <w:tblStyle w:val="TableGrid"/>
        <w:tblW w:w="0" w:type="auto"/>
        <w:tblLook w:val="04A0" w:firstRow="1" w:lastRow="0" w:firstColumn="1" w:lastColumn="0" w:noHBand="0" w:noVBand="1"/>
      </w:tblPr>
      <w:tblGrid>
        <w:gridCol w:w="846"/>
        <w:gridCol w:w="8170"/>
      </w:tblGrid>
      <w:tr w:rsidR="00066801" w:rsidRPr="00066801" w14:paraId="5BB005C6" w14:textId="77777777" w:rsidTr="00066801">
        <w:tc>
          <w:tcPr>
            <w:tcW w:w="846" w:type="dxa"/>
          </w:tcPr>
          <w:p w14:paraId="5BB005C4" w14:textId="77777777" w:rsidR="00066801" w:rsidRPr="00066801" w:rsidRDefault="00066801" w:rsidP="00865C35">
            <w:pPr>
              <w:rPr>
                <w:b/>
              </w:rPr>
            </w:pPr>
            <w:r>
              <w:rPr>
                <w:b/>
              </w:rPr>
              <w:t>7.2</w:t>
            </w:r>
          </w:p>
        </w:tc>
        <w:tc>
          <w:tcPr>
            <w:tcW w:w="8170" w:type="dxa"/>
          </w:tcPr>
          <w:p w14:paraId="5BB005C5" w14:textId="77777777" w:rsidR="00066801" w:rsidRPr="00066801" w:rsidRDefault="00066801" w:rsidP="00865C35">
            <w:pPr>
              <w:rPr>
                <w:b/>
              </w:rPr>
            </w:pPr>
            <w:r w:rsidRPr="00066801">
              <w:rPr>
                <w:b/>
              </w:rPr>
              <w:t>Compliance Consultants</w:t>
            </w:r>
          </w:p>
        </w:tc>
      </w:tr>
      <w:tr w:rsidR="00066801" w14:paraId="5BB005CC" w14:textId="77777777" w:rsidTr="00066801">
        <w:tc>
          <w:tcPr>
            <w:tcW w:w="846" w:type="dxa"/>
          </w:tcPr>
          <w:p w14:paraId="5BB005C7" w14:textId="77777777" w:rsidR="00066801" w:rsidRDefault="00066801" w:rsidP="00865C35"/>
          <w:p w14:paraId="5BB005C8" w14:textId="77777777" w:rsidR="00066801" w:rsidRDefault="00066801" w:rsidP="00865C35">
            <w:r>
              <w:t>7.2.1</w:t>
            </w:r>
          </w:p>
        </w:tc>
        <w:tc>
          <w:tcPr>
            <w:tcW w:w="8170" w:type="dxa"/>
          </w:tcPr>
          <w:p w14:paraId="5BB005C9" w14:textId="77777777" w:rsidR="00066801" w:rsidRDefault="00066801" w:rsidP="00865C35"/>
          <w:p w14:paraId="5BB005CA" w14:textId="77777777" w:rsidR="00066801" w:rsidRDefault="00066801" w:rsidP="00865C35">
            <w:r>
              <w:t>Further to [7.1.3], IPs remain responsible for any communication or response to a regulatory matter prepared by third party consultants and IPs are expected to review and approve any work undertaken by such consultants on their behalf.</w:t>
            </w:r>
          </w:p>
          <w:p w14:paraId="5BB005CB" w14:textId="77777777" w:rsidR="00066801" w:rsidRDefault="00066801" w:rsidP="00865C35"/>
        </w:tc>
      </w:tr>
    </w:tbl>
    <w:p w14:paraId="5BB005CD" w14:textId="77777777" w:rsidR="00FA70B1" w:rsidRDefault="00FA70B1" w:rsidP="00066801">
      <w:pPr>
        <w:spacing w:after="0"/>
      </w:pPr>
    </w:p>
    <w:sectPr w:rsidR="00FA70B1" w:rsidSect="00EB6C2F">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05D0" w14:textId="77777777" w:rsidR="00394947" w:rsidRDefault="00394947" w:rsidP="00EB6C2F">
      <w:pPr>
        <w:spacing w:after="0" w:line="240" w:lineRule="auto"/>
      </w:pPr>
      <w:r>
        <w:separator/>
      </w:r>
    </w:p>
  </w:endnote>
  <w:endnote w:type="continuationSeparator" w:id="0">
    <w:p w14:paraId="5BB005D1" w14:textId="77777777" w:rsidR="00394947" w:rsidRDefault="00394947" w:rsidP="00EB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347597"/>
      <w:docPartObj>
        <w:docPartGallery w:val="Page Numbers (Bottom of Page)"/>
        <w:docPartUnique/>
      </w:docPartObj>
    </w:sdtPr>
    <w:sdtEndPr>
      <w:rPr>
        <w:noProof/>
      </w:rPr>
    </w:sdtEndPr>
    <w:sdtContent>
      <w:p w14:paraId="5BB005D3" w14:textId="77777777" w:rsidR="00394947" w:rsidRDefault="0039494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BB005D4" w14:textId="77777777" w:rsidR="00394947" w:rsidRDefault="00394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005CE" w14:textId="77777777" w:rsidR="00394947" w:rsidRDefault="00394947" w:rsidP="00EB6C2F">
      <w:pPr>
        <w:spacing w:after="0" w:line="240" w:lineRule="auto"/>
      </w:pPr>
      <w:r>
        <w:separator/>
      </w:r>
    </w:p>
  </w:footnote>
  <w:footnote w:type="continuationSeparator" w:id="0">
    <w:p w14:paraId="5BB005CF" w14:textId="77777777" w:rsidR="00394947" w:rsidRDefault="00394947" w:rsidP="00EB6C2F">
      <w:pPr>
        <w:spacing w:after="0" w:line="240" w:lineRule="auto"/>
      </w:pPr>
      <w:r>
        <w:continuationSeparator/>
      </w:r>
    </w:p>
  </w:footnote>
  <w:footnote w:id="1">
    <w:p w14:paraId="31B660FF" w14:textId="5BD1DBC8" w:rsidR="00394947" w:rsidRDefault="00394947">
      <w:pPr>
        <w:pStyle w:val="FootnoteText"/>
      </w:pPr>
      <w:r>
        <w:rPr>
          <w:rStyle w:val="FootnoteReference"/>
        </w:rPr>
        <w:footnoteRef/>
      </w:r>
      <w:r>
        <w:t xml:space="preserve"> </w:t>
      </w:r>
      <w:r w:rsidRPr="0057331C">
        <w:rPr>
          <w:sz w:val="16"/>
          <w:szCs w:val="16"/>
        </w:rPr>
        <w:t xml:space="preserve">Updated to reflect the </w:t>
      </w:r>
      <w:r w:rsidR="00782A4D">
        <w:rPr>
          <w:sz w:val="16"/>
          <w:szCs w:val="16"/>
        </w:rPr>
        <w:t xml:space="preserve">restructuring of the Regulatory Committees and the </w:t>
      </w:r>
      <w:r w:rsidRPr="0057331C">
        <w:rPr>
          <w:sz w:val="16"/>
          <w:szCs w:val="16"/>
        </w:rPr>
        <w:t>change of name from Council to Board approved at the AGM</w:t>
      </w:r>
      <w:r w:rsidR="00782A4D">
        <w:rPr>
          <w:sz w:val="16"/>
          <w:szCs w:val="16"/>
        </w:rPr>
        <w:t>s</w:t>
      </w:r>
      <w:r w:rsidRPr="0057331C">
        <w:rPr>
          <w:sz w:val="16"/>
          <w:szCs w:val="16"/>
        </w:rPr>
        <w:t xml:space="preserve"> held on </w:t>
      </w:r>
      <w:r w:rsidR="00782A4D">
        <w:rPr>
          <w:sz w:val="16"/>
          <w:szCs w:val="16"/>
        </w:rPr>
        <w:t xml:space="preserve">and 26 April 2019 and </w:t>
      </w:r>
      <w:proofErr w:type="gramStart"/>
      <w:r w:rsidRPr="0057331C">
        <w:rPr>
          <w:sz w:val="16"/>
          <w:szCs w:val="16"/>
        </w:rPr>
        <w:t>2</w:t>
      </w:r>
      <w:r>
        <w:rPr>
          <w:sz w:val="16"/>
          <w:szCs w:val="16"/>
        </w:rPr>
        <w:t>0</w:t>
      </w:r>
      <w:r w:rsidRPr="0057331C">
        <w:rPr>
          <w:sz w:val="16"/>
          <w:szCs w:val="16"/>
        </w:rPr>
        <w:t xml:space="preserve"> April 2020</w:t>
      </w:r>
      <w:proofErr w:type="gramEnd"/>
      <w:r w:rsidR="00782A4D">
        <w:rPr>
          <w:sz w:val="16"/>
          <w:szCs w:val="16"/>
        </w:rPr>
        <w:t xml:space="preserve"> respectively.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05D2" w14:textId="77777777" w:rsidR="00394947" w:rsidRPr="00EB6C2F" w:rsidRDefault="00394947" w:rsidP="00EB6C2F">
    <w:pPr>
      <w:pStyle w:val="Header"/>
      <w:jc w:val="right"/>
      <w:rPr>
        <w:i/>
      </w:rPr>
    </w:pPr>
    <w:r w:rsidRPr="00EB6C2F">
      <w:rPr>
        <w:i/>
      </w:rPr>
      <w:t>IPA I</w:t>
    </w:r>
    <w:r>
      <w:rPr>
        <w:i/>
      </w:rPr>
      <w:t>nsolvency Practitioner Authorisation</w:t>
    </w:r>
    <w:r w:rsidRPr="00EB6C2F">
      <w:rPr>
        <w:i/>
      </w:rPr>
      <w:t xml:space="preserve">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667"/>
    <w:multiLevelType w:val="hybridMultilevel"/>
    <w:tmpl w:val="5202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26BB"/>
    <w:multiLevelType w:val="hybridMultilevel"/>
    <w:tmpl w:val="92D8F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C0D6D"/>
    <w:multiLevelType w:val="hybridMultilevel"/>
    <w:tmpl w:val="5C3A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740CA"/>
    <w:multiLevelType w:val="hybridMultilevel"/>
    <w:tmpl w:val="4F44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319A4"/>
    <w:multiLevelType w:val="hybridMultilevel"/>
    <w:tmpl w:val="B80C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C2429"/>
    <w:multiLevelType w:val="hybridMultilevel"/>
    <w:tmpl w:val="DFB8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018CC"/>
    <w:multiLevelType w:val="hybridMultilevel"/>
    <w:tmpl w:val="1752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D5443"/>
    <w:multiLevelType w:val="hybridMultilevel"/>
    <w:tmpl w:val="A992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8097D"/>
    <w:multiLevelType w:val="hybridMultilevel"/>
    <w:tmpl w:val="50E4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2"/>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D1"/>
    <w:rsid w:val="00003851"/>
    <w:rsid w:val="00035F26"/>
    <w:rsid w:val="000455BB"/>
    <w:rsid w:val="00066801"/>
    <w:rsid w:val="000708A5"/>
    <w:rsid w:val="00113BEA"/>
    <w:rsid w:val="00151E00"/>
    <w:rsid w:val="00161404"/>
    <w:rsid w:val="00163401"/>
    <w:rsid w:val="00177813"/>
    <w:rsid w:val="001D3FDF"/>
    <w:rsid w:val="00200A21"/>
    <w:rsid w:val="00216BF7"/>
    <w:rsid w:val="0025785C"/>
    <w:rsid w:val="00260519"/>
    <w:rsid w:val="002626E5"/>
    <w:rsid w:val="00266564"/>
    <w:rsid w:val="002840B8"/>
    <w:rsid w:val="002A6761"/>
    <w:rsid w:val="002B2565"/>
    <w:rsid w:val="002F4221"/>
    <w:rsid w:val="0030579C"/>
    <w:rsid w:val="00383EE3"/>
    <w:rsid w:val="00394947"/>
    <w:rsid w:val="003B4AD9"/>
    <w:rsid w:val="003E1EA4"/>
    <w:rsid w:val="003E70F8"/>
    <w:rsid w:val="003F1B89"/>
    <w:rsid w:val="003F30CE"/>
    <w:rsid w:val="003F5893"/>
    <w:rsid w:val="00415DF1"/>
    <w:rsid w:val="00426184"/>
    <w:rsid w:val="004435A5"/>
    <w:rsid w:val="00463D86"/>
    <w:rsid w:val="00464927"/>
    <w:rsid w:val="00473933"/>
    <w:rsid w:val="004B0DDC"/>
    <w:rsid w:val="004B2049"/>
    <w:rsid w:val="004B7505"/>
    <w:rsid w:val="004F5197"/>
    <w:rsid w:val="00504600"/>
    <w:rsid w:val="005069CD"/>
    <w:rsid w:val="00511418"/>
    <w:rsid w:val="00532741"/>
    <w:rsid w:val="00551F55"/>
    <w:rsid w:val="005703D1"/>
    <w:rsid w:val="005A7EF1"/>
    <w:rsid w:val="005C162D"/>
    <w:rsid w:val="005D13ED"/>
    <w:rsid w:val="005F344F"/>
    <w:rsid w:val="0061143B"/>
    <w:rsid w:val="00614D79"/>
    <w:rsid w:val="00632D8A"/>
    <w:rsid w:val="00656683"/>
    <w:rsid w:val="00705D59"/>
    <w:rsid w:val="007302DB"/>
    <w:rsid w:val="00731C2C"/>
    <w:rsid w:val="007375EE"/>
    <w:rsid w:val="00782A4D"/>
    <w:rsid w:val="007C20F3"/>
    <w:rsid w:val="0083297B"/>
    <w:rsid w:val="00841C22"/>
    <w:rsid w:val="00852A75"/>
    <w:rsid w:val="008623E8"/>
    <w:rsid w:val="00862583"/>
    <w:rsid w:val="00864C14"/>
    <w:rsid w:val="00865C35"/>
    <w:rsid w:val="00870379"/>
    <w:rsid w:val="00870C03"/>
    <w:rsid w:val="008775D1"/>
    <w:rsid w:val="008A38B7"/>
    <w:rsid w:val="008C0D4D"/>
    <w:rsid w:val="0093277C"/>
    <w:rsid w:val="00954691"/>
    <w:rsid w:val="00973995"/>
    <w:rsid w:val="009857D2"/>
    <w:rsid w:val="009F46FF"/>
    <w:rsid w:val="009F5836"/>
    <w:rsid w:val="00A740E0"/>
    <w:rsid w:val="00AC5E4F"/>
    <w:rsid w:val="00B45551"/>
    <w:rsid w:val="00B81665"/>
    <w:rsid w:val="00B949CD"/>
    <w:rsid w:val="00BC4946"/>
    <w:rsid w:val="00BC67B8"/>
    <w:rsid w:val="00BF569C"/>
    <w:rsid w:val="00C665C1"/>
    <w:rsid w:val="00CA14C2"/>
    <w:rsid w:val="00CC25A9"/>
    <w:rsid w:val="00CF0457"/>
    <w:rsid w:val="00CF1A37"/>
    <w:rsid w:val="00CF2BFC"/>
    <w:rsid w:val="00D02F63"/>
    <w:rsid w:val="00D342A8"/>
    <w:rsid w:val="00D838FA"/>
    <w:rsid w:val="00DE5AB0"/>
    <w:rsid w:val="00DF4CA4"/>
    <w:rsid w:val="00E0396C"/>
    <w:rsid w:val="00E1070A"/>
    <w:rsid w:val="00E15846"/>
    <w:rsid w:val="00E44D8B"/>
    <w:rsid w:val="00E5442F"/>
    <w:rsid w:val="00E55F7C"/>
    <w:rsid w:val="00EB6C2F"/>
    <w:rsid w:val="00F14A9D"/>
    <w:rsid w:val="00F465F6"/>
    <w:rsid w:val="00F73660"/>
    <w:rsid w:val="00F92E38"/>
    <w:rsid w:val="00FA70B1"/>
    <w:rsid w:val="00FE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0360"/>
  <w15:chartTrackingRefBased/>
  <w15:docId w15:val="{B579DB49-56C3-4F30-88A2-D84B0B9F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D1"/>
    <w:pPr>
      <w:ind w:left="720"/>
      <w:contextualSpacing/>
    </w:pPr>
  </w:style>
  <w:style w:type="table" w:styleId="TableGrid">
    <w:name w:val="Table Grid"/>
    <w:basedOn w:val="TableNormal"/>
    <w:uiPriority w:val="39"/>
    <w:rsid w:val="003F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2F"/>
  </w:style>
  <w:style w:type="paragraph" w:styleId="Footer">
    <w:name w:val="footer"/>
    <w:basedOn w:val="Normal"/>
    <w:link w:val="FooterChar"/>
    <w:uiPriority w:val="99"/>
    <w:unhideWhenUsed/>
    <w:rsid w:val="00EB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2F"/>
  </w:style>
  <w:style w:type="paragraph" w:styleId="BalloonText">
    <w:name w:val="Balloon Text"/>
    <w:basedOn w:val="Normal"/>
    <w:link w:val="BalloonTextChar"/>
    <w:uiPriority w:val="99"/>
    <w:semiHidden/>
    <w:unhideWhenUsed/>
    <w:rsid w:val="005C1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2D"/>
    <w:rPr>
      <w:rFonts w:ascii="Segoe UI" w:hAnsi="Segoe UI" w:cs="Segoe UI"/>
      <w:sz w:val="18"/>
      <w:szCs w:val="18"/>
    </w:rPr>
  </w:style>
  <w:style w:type="paragraph" w:styleId="FootnoteText">
    <w:name w:val="footnote text"/>
    <w:basedOn w:val="Normal"/>
    <w:link w:val="FootnoteTextChar"/>
    <w:uiPriority w:val="99"/>
    <w:semiHidden/>
    <w:unhideWhenUsed/>
    <w:rsid w:val="005C1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62D"/>
    <w:rPr>
      <w:sz w:val="20"/>
      <w:szCs w:val="20"/>
    </w:rPr>
  </w:style>
  <w:style w:type="character" w:styleId="FootnoteReference">
    <w:name w:val="footnote reference"/>
    <w:basedOn w:val="DefaultParagraphFont"/>
    <w:uiPriority w:val="99"/>
    <w:semiHidden/>
    <w:unhideWhenUsed/>
    <w:rsid w:val="005C1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A7DCFA101FF54B96FDF4E01A8F833C" ma:contentTypeVersion="12" ma:contentTypeDescription="Create a new document." ma:contentTypeScope="" ma:versionID="0438af9088bbf9ba5f69af2ca8e63dc6">
  <xsd:schema xmlns:xsd="http://www.w3.org/2001/XMLSchema" xmlns:xs="http://www.w3.org/2001/XMLSchema" xmlns:p="http://schemas.microsoft.com/office/2006/metadata/properties" xmlns:ns3="89d006a1-6db6-4146-a4e1-7a71fd597688" xmlns:ns4="633bb1e6-297c-4f78-88c3-9e53cb8e4210" targetNamespace="http://schemas.microsoft.com/office/2006/metadata/properties" ma:root="true" ma:fieldsID="617f9a1a7c9ce4f5bd46e61211ca96e0" ns3:_="" ns4:_="">
    <xsd:import namespace="89d006a1-6db6-4146-a4e1-7a71fd597688"/>
    <xsd:import namespace="633bb1e6-297c-4f78-88c3-9e53cb8e4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006a1-6db6-4146-a4e1-7a71fd597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bb1e6-297c-4f78-88c3-9e53cb8e4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A0000-1D42-46BD-AC11-B594EA7BB906}">
  <ds:schemaRefs>
    <ds:schemaRef ds:uri="http://schemas.openxmlformats.org/officeDocument/2006/bibliography"/>
  </ds:schemaRefs>
</ds:datastoreItem>
</file>

<file path=customXml/itemProps2.xml><?xml version="1.0" encoding="utf-8"?>
<ds:datastoreItem xmlns:ds="http://schemas.openxmlformats.org/officeDocument/2006/customXml" ds:itemID="{496417BF-4AA6-4772-ACB3-F8931D28A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006a1-6db6-4146-a4e1-7a71fd597688"/>
    <ds:schemaRef ds:uri="633bb1e6-297c-4f78-88c3-9e53cb8e4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39330-2BE7-4948-BC1B-2802E203FFEE}">
  <ds:schemaRefs>
    <ds:schemaRef ds:uri="http://schemas.microsoft.com/sharepoint/v3/contenttype/forms"/>
  </ds:schemaRefs>
</ds:datastoreItem>
</file>

<file path=customXml/itemProps4.xml><?xml version="1.0" encoding="utf-8"?>
<ds:datastoreItem xmlns:ds="http://schemas.openxmlformats.org/officeDocument/2006/customXml" ds:itemID="{E09F0D53-1405-4D5A-B6BC-A7C441FB7CEE}">
  <ds:schemaRefs>
    <ds:schemaRef ds:uri="http://www.w3.org/XML/1998/namespace"/>
    <ds:schemaRef ds:uri="http://purl.org/dc/dcmitype/"/>
    <ds:schemaRef ds:uri="http://schemas.microsoft.com/office/2006/documentManagement/types"/>
    <ds:schemaRef ds:uri="89d006a1-6db6-4146-a4e1-7a71fd597688"/>
    <ds:schemaRef ds:uri="http://purl.org/dc/terms/"/>
    <ds:schemaRef ds:uri="http://schemas.openxmlformats.org/package/2006/metadata/core-properties"/>
    <ds:schemaRef ds:uri="http://purl.org/dc/elements/1.1/"/>
    <ds:schemaRef ds:uri="633bb1e6-297c-4f78-88c3-9e53cb8e4210"/>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3236</Words>
  <Characters>18447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Kerr</dc:creator>
  <cp:keywords/>
  <dc:description/>
  <cp:lastModifiedBy>Nikki Haggis</cp:lastModifiedBy>
  <cp:revision>2</cp:revision>
  <dcterms:created xsi:type="dcterms:W3CDTF">2020-09-09T14:15:00Z</dcterms:created>
  <dcterms:modified xsi:type="dcterms:W3CDTF">2020-09-09T14:15:00Z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0x010100ACA7DCFA101FF54B96FDF4E01A8F833C</vt:lpwstr>
  </property>
</Properties>
</file>